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tblpY="1"/>
        <w:tblOverlap w:val="never"/>
        <w:tblW w:w="7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6"/>
      </w:tblGrid>
      <w:tr w:rsidR="00B9526E" w:rsidRPr="00E7211C" w:rsidTr="009D4D7F">
        <w:trPr>
          <w:cantSplit/>
          <w:trHeight w:val="3158"/>
        </w:trPr>
        <w:tc>
          <w:tcPr>
            <w:tcW w:w="7116" w:type="dxa"/>
          </w:tcPr>
          <w:p w:rsidR="00F76C89" w:rsidRPr="00E7211C" w:rsidRDefault="00F76C89" w:rsidP="009D4D7F">
            <w:pPr>
              <w:pStyle w:val="Template-DokinfoOverskrift"/>
              <w:jc w:val="both"/>
              <w:rPr>
                <w:rFonts w:asciiTheme="minorHAnsi" w:hAnsiTheme="minorHAnsi"/>
                <w:sz w:val="22"/>
              </w:rPr>
            </w:pPr>
            <w:r w:rsidRPr="00E7211C">
              <w:rPr>
                <w:rFonts w:asciiTheme="minorHAnsi" w:hAnsiTheme="minorHAnsi"/>
                <w:sz w:val="22"/>
              </w:rPr>
              <w:t>NOTITS vedrørende fiskerimulighederne i Østersøen i 202</w:t>
            </w:r>
            <w:r w:rsidR="0096197F">
              <w:rPr>
                <w:rFonts w:asciiTheme="minorHAnsi" w:hAnsiTheme="minorHAnsi"/>
                <w:sz w:val="22"/>
              </w:rPr>
              <w:t>1</w:t>
            </w:r>
          </w:p>
          <w:p w:rsidR="00F76C89" w:rsidRPr="00E7211C" w:rsidRDefault="00F76C89" w:rsidP="009D4D7F">
            <w:pPr>
              <w:pStyle w:val="Template-Dokinfo"/>
              <w:rPr>
                <w:rFonts w:asciiTheme="minorHAnsi" w:hAnsiTheme="minorHAnsi"/>
                <w:sz w:val="22"/>
              </w:rPr>
            </w:pPr>
          </w:p>
          <w:p w:rsidR="00F76C89" w:rsidRPr="00E7211C" w:rsidRDefault="00F76C89" w:rsidP="009D4D7F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  <w:p w:rsidR="00F76C89" w:rsidRPr="00E7211C" w:rsidRDefault="00F76C89" w:rsidP="009D4D7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7211C">
              <w:rPr>
                <w:rFonts w:asciiTheme="minorHAnsi" w:hAnsiTheme="minorHAnsi"/>
                <w:b/>
                <w:sz w:val="22"/>
                <w:szCs w:val="22"/>
              </w:rPr>
              <w:t>Rådets forordning om fastsættelse for 202</w:t>
            </w:r>
            <w:r w:rsidR="0096197F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E7211C">
              <w:rPr>
                <w:rFonts w:asciiTheme="minorHAnsi" w:hAnsiTheme="minorHAnsi"/>
                <w:b/>
                <w:sz w:val="22"/>
                <w:szCs w:val="22"/>
              </w:rPr>
              <w:t xml:space="preserve"> af fiskerimuligheder for visse fiskebestande og gruppe</w:t>
            </w:r>
            <w:r w:rsidR="00860844" w:rsidRPr="00E7211C">
              <w:rPr>
                <w:rFonts w:asciiTheme="minorHAnsi" w:hAnsiTheme="minorHAnsi"/>
                <w:b/>
                <w:sz w:val="22"/>
                <w:szCs w:val="22"/>
              </w:rPr>
              <w:t>r af fiskebestande i Østersøen</w:t>
            </w:r>
          </w:p>
          <w:p w:rsidR="00F76C89" w:rsidRPr="00E7211C" w:rsidRDefault="00F76C89" w:rsidP="009D4D7F">
            <w:pPr>
              <w:pStyle w:val="NormalWeb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F76C89" w:rsidRPr="00E7211C" w:rsidRDefault="00F76C89" w:rsidP="009D4D7F">
            <w:pPr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F76C89" w:rsidRPr="00E7211C" w:rsidRDefault="00F76C89" w:rsidP="009D4D7F">
            <w:pPr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E7211C">
              <w:rPr>
                <w:rFonts w:asciiTheme="minorHAnsi" w:eastAsia="SimSun" w:hAnsiTheme="minorHAnsi"/>
                <w:b/>
                <w:sz w:val="22"/>
                <w:szCs w:val="22"/>
              </w:rPr>
              <w:t>Foreløbig oversigt over fiskerimuligheder i Østersøen for 202</w:t>
            </w:r>
            <w:r w:rsidR="0096197F">
              <w:rPr>
                <w:rFonts w:asciiTheme="minorHAnsi" w:eastAsia="SimSun" w:hAnsiTheme="minorHAnsi"/>
                <w:b/>
                <w:sz w:val="22"/>
                <w:szCs w:val="22"/>
              </w:rPr>
              <w:t>1</w:t>
            </w:r>
          </w:p>
          <w:p w:rsidR="00B9526E" w:rsidRPr="00E7211C" w:rsidRDefault="00B9526E" w:rsidP="009D4D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40B51" w:rsidRPr="00E93A61" w:rsidRDefault="009D4D7F" w:rsidP="00C86646">
      <w:pPr>
        <w:pStyle w:val="DocumentHeading"/>
        <w:rPr>
          <w:rFonts w:asciiTheme="minorHAnsi" w:hAnsiTheme="minorHAnsi"/>
          <w:b w:val="0"/>
          <w:color w:val="FF0000"/>
          <w:szCs w:val="22"/>
        </w:rPr>
      </w:pPr>
      <w:r>
        <w:rPr>
          <w:rFonts w:asciiTheme="minorHAnsi" w:hAnsiTheme="minorHAnsi"/>
          <w:szCs w:val="22"/>
        </w:rPr>
        <w:br w:type="textWrapping" w:clear="all"/>
      </w:r>
    </w:p>
    <w:p w:rsidR="00F76C89" w:rsidRPr="00E7211C" w:rsidRDefault="00F76C89" w:rsidP="00F76C89">
      <w:pPr>
        <w:pStyle w:val="DocumentHeading"/>
        <w:rPr>
          <w:rFonts w:asciiTheme="minorHAnsi" w:hAnsiTheme="minorHAnsi"/>
          <w:szCs w:val="22"/>
        </w:rPr>
      </w:pPr>
    </w:p>
    <w:p w:rsidR="00F76C89" w:rsidRPr="00E7211C" w:rsidRDefault="00F76C89" w:rsidP="00F76C89">
      <w:pPr>
        <w:pStyle w:val="Overskrift1"/>
        <w:rPr>
          <w:rFonts w:asciiTheme="minorHAnsi" w:hAnsiTheme="minorHAnsi"/>
          <w:szCs w:val="22"/>
        </w:rPr>
      </w:pPr>
      <w:bookmarkStart w:id="0" w:name="_Toc307157890"/>
      <w:bookmarkStart w:id="1" w:name="_Toc307157928"/>
      <w:r w:rsidRPr="00E7211C">
        <w:rPr>
          <w:rFonts w:asciiTheme="minorHAnsi" w:hAnsiTheme="minorHAnsi"/>
          <w:szCs w:val="22"/>
        </w:rPr>
        <w:t>Fastsatte TAC/kvoter for 202</w:t>
      </w:r>
      <w:r w:rsidR="00786BCF">
        <w:rPr>
          <w:rFonts w:asciiTheme="minorHAnsi" w:hAnsiTheme="minorHAnsi"/>
          <w:szCs w:val="22"/>
        </w:rPr>
        <w:t>1</w:t>
      </w:r>
      <w:r w:rsidRPr="00E7211C">
        <w:rPr>
          <w:rStyle w:val="Fodnotehenvisning"/>
          <w:rFonts w:asciiTheme="minorHAnsi" w:eastAsiaTheme="majorEastAsia" w:hAnsiTheme="minorHAnsi"/>
          <w:szCs w:val="22"/>
        </w:rPr>
        <w:footnoteReference w:id="1"/>
      </w:r>
      <w:bookmarkEnd w:id="0"/>
      <w:bookmarkEnd w:id="1"/>
      <w:r w:rsidRPr="00E7211C">
        <w:rPr>
          <w:rFonts w:asciiTheme="minorHAnsi" w:hAnsiTheme="minorHAnsi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552"/>
      </w:tblGrid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58161B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>Torsk i den vestlige Østersø (område 22-24)</w:t>
            </w:r>
          </w:p>
        </w:tc>
        <w:tc>
          <w:tcPr>
            <w:tcW w:w="2552" w:type="dxa"/>
            <w:vAlign w:val="center"/>
          </w:tcPr>
          <w:p w:rsidR="00F76C89" w:rsidRPr="00E7211C" w:rsidRDefault="00786BCF" w:rsidP="00786BC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</w:t>
            </w:r>
            <w:r w:rsidR="00CB5805" w:rsidRPr="004958F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CB5805" w:rsidRPr="004958F1"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</w:tr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433F58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>Torsk i den østlige Østersø (område 25-32)</w:t>
            </w:r>
            <w:r w:rsidR="00022E3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76C89" w:rsidRPr="00E7211C" w:rsidRDefault="00F76C89" w:rsidP="007E08BA">
            <w:pPr>
              <w:ind w:left="72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58F1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7E08BA">
              <w:rPr>
                <w:rFonts w:asciiTheme="minorHAnsi" w:hAnsiTheme="minorHAnsi"/>
                <w:sz w:val="22"/>
                <w:szCs w:val="22"/>
              </w:rPr>
              <w:t>70</w:t>
            </w:r>
            <w:r w:rsidR="004958F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211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E51DC9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>Sild i den vestlige Østersø (område 22-24)</w:t>
            </w:r>
          </w:p>
        </w:tc>
        <w:tc>
          <w:tcPr>
            <w:tcW w:w="2552" w:type="dxa"/>
            <w:vAlign w:val="center"/>
          </w:tcPr>
          <w:p w:rsidR="00F76C89" w:rsidRPr="006901DA" w:rsidRDefault="006901DA" w:rsidP="007E08BA">
            <w:pPr>
              <w:pStyle w:val="Listeafsnit"/>
              <w:ind w:left="41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958F1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7E08BA">
              <w:rPr>
                <w:rFonts w:asciiTheme="minorHAnsi" w:hAnsiTheme="minorHAnsi"/>
                <w:sz w:val="22"/>
                <w:szCs w:val="22"/>
              </w:rPr>
              <w:t>50</w:t>
            </w:r>
            <w:r w:rsidRPr="004958F1"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</w:tr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E51DC9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 xml:space="preserve">Sild i den centrale Østersø (område 25-29,32) </w:t>
            </w:r>
          </w:p>
        </w:tc>
        <w:tc>
          <w:tcPr>
            <w:tcW w:w="2552" w:type="dxa"/>
            <w:vAlign w:val="center"/>
          </w:tcPr>
          <w:p w:rsidR="00F76C89" w:rsidRPr="00E7211C" w:rsidRDefault="00F76C89" w:rsidP="007E08B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901DA" w:rsidRPr="004958F1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7E08BA">
              <w:rPr>
                <w:rFonts w:asciiTheme="minorHAnsi" w:hAnsiTheme="minorHAnsi"/>
                <w:sz w:val="22"/>
                <w:szCs w:val="22"/>
              </w:rPr>
              <w:t>36</w:t>
            </w:r>
            <w:r w:rsidR="006901DA" w:rsidRPr="004958F1"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</w:tr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E51DC9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 xml:space="preserve">Sild i den Botniske Bugt (område 30-31) </w:t>
            </w:r>
          </w:p>
        </w:tc>
        <w:tc>
          <w:tcPr>
            <w:tcW w:w="2552" w:type="dxa"/>
            <w:vAlign w:val="center"/>
          </w:tcPr>
          <w:p w:rsidR="00F76C89" w:rsidRPr="00837487" w:rsidRDefault="0084586F" w:rsidP="0084586F">
            <w:pPr>
              <w:pStyle w:val="Listeafsni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</w:t>
            </w:r>
            <w:r w:rsidR="00466A65">
              <w:rPr>
                <w:rFonts w:asciiTheme="minorHAnsi" w:hAnsiTheme="minorHAnsi"/>
                <w:sz w:val="22"/>
                <w:szCs w:val="22"/>
              </w:rPr>
              <w:t>0</w:t>
            </w:r>
            <w:r w:rsidR="00F76C89" w:rsidRPr="00837487"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</w:tr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E51DC9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 xml:space="preserve">Sild i Rigabugten (område 28.1) </w:t>
            </w:r>
          </w:p>
        </w:tc>
        <w:tc>
          <w:tcPr>
            <w:tcW w:w="2552" w:type="dxa"/>
            <w:vAlign w:val="center"/>
          </w:tcPr>
          <w:p w:rsidR="00F76C89" w:rsidRPr="00E7211C" w:rsidRDefault="004958F1" w:rsidP="0083748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</w:t>
            </w:r>
            <w:r w:rsidR="00F76C89" w:rsidRPr="00E7211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37487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76C89" w:rsidRPr="00E7211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E51DC9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 xml:space="preserve">Brisling (område 22-32) </w:t>
            </w:r>
          </w:p>
        </w:tc>
        <w:tc>
          <w:tcPr>
            <w:tcW w:w="2552" w:type="dxa"/>
            <w:vAlign w:val="center"/>
          </w:tcPr>
          <w:p w:rsidR="00F76C89" w:rsidRPr="00E7211C" w:rsidRDefault="00C86646" w:rsidP="00786BC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</w:t>
            </w:r>
            <w:r w:rsidR="00786BCF">
              <w:rPr>
                <w:rFonts w:asciiTheme="minorHAnsi" w:hAnsiTheme="minorHAnsi"/>
                <w:sz w:val="22"/>
                <w:szCs w:val="22"/>
              </w:rPr>
              <w:t xml:space="preserve"> 6 </w:t>
            </w:r>
            <w:r w:rsidR="00F76C89" w:rsidRPr="00E7211C">
              <w:rPr>
                <w:rFonts w:asciiTheme="minorHAnsi" w:hAnsiTheme="minorHAnsi"/>
                <w:sz w:val="22"/>
                <w:szCs w:val="22"/>
              </w:rPr>
              <w:t>%</w:t>
            </w:r>
          </w:p>
        </w:tc>
      </w:tr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E51DC9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 xml:space="preserve">Laks (område 22-31) </w:t>
            </w:r>
          </w:p>
        </w:tc>
        <w:tc>
          <w:tcPr>
            <w:tcW w:w="2552" w:type="dxa"/>
            <w:vAlign w:val="center"/>
          </w:tcPr>
          <w:p w:rsidR="00F76C89" w:rsidRPr="00E7211C" w:rsidRDefault="00837487" w:rsidP="0083748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</w:t>
            </w:r>
            <w:r w:rsidR="00BE4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958F1"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</w:tr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E51DC9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>Laks i Finske Bugt (område 32)</w:t>
            </w:r>
          </w:p>
        </w:tc>
        <w:tc>
          <w:tcPr>
            <w:tcW w:w="2552" w:type="dxa"/>
            <w:vAlign w:val="center"/>
          </w:tcPr>
          <w:p w:rsidR="00F76C89" w:rsidRPr="00E7211C" w:rsidRDefault="00837487" w:rsidP="00786BC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786BCF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%</w:t>
            </w:r>
          </w:p>
        </w:tc>
      </w:tr>
      <w:tr w:rsidR="00F76C89" w:rsidRPr="00E7211C" w:rsidTr="00E51DC9">
        <w:trPr>
          <w:trHeight w:val="454"/>
        </w:trPr>
        <w:tc>
          <w:tcPr>
            <w:tcW w:w="6946" w:type="dxa"/>
            <w:vAlign w:val="center"/>
          </w:tcPr>
          <w:p w:rsidR="00F76C89" w:rsidRPr="00E7211C" w:rsidRDefault="00F76C89" w:rsidP="00E51DC9">
            <w:pPr>
              <w:rPr>
                <w:rFonts w:asciiTheme="minorHAnsi" w:hAnsiTheme="minorHAnsi"/>
                <w:sz w:val="22"/>
                <w:szCs w:val="22"/>
              </w:rPr>
            </w:pPr>
            <w:r w:rsidRPr="00E7211C">
              <w:rPr>
                <w:rFonts w:asciiTheme="minorHAnsi" w:hAnsiTheme="minorHAnsi"/>
                <w:sz w:val="22"/>
                <w:szCs w:val="22"/>
              </w:rPr>
              <w:t xml:space="preserve">Rødspætte (område 22-32) </w:t>
            </w:r>
          </w:p>
        </w:tc>
        <w:tc>
          <w:tcPr>
            <w:tcW w:w="2552" w:type="dxa"/>
            <w:vAlign w:val="center"/>
          </w:tcPr>
          <w:p w:rsidR="00F76C89" w:rsidRPr="00BE4EAA" w:rsidRDefault="00C86646" w:rsidP="00C86646">
            <w:pPr>
              <w:ind w:left="50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+ 5</w:t>
            </w:r>
            <w:r w:rsidR="004958F1" w:rsidRPr="00BE4E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76C89" w:rsidRPr="00BE4EAA">
              <w:rPr>
                <w:rFonts w:asciiTheme="minorHAnsi" w:hAnsiTheme="minorHAnsi"/>
                <w:sz w:val="22"/>
                <w:szCs w:val="22"/>
              </w:rPr>
              <w:t xml:space="preserve">% </w:t>
            </w:r>
          </w:p>
        </w:tc>
      </w:tr>
    </w:tbl>
    <w:p w:rsidR="00F76C89" w:rsidRPr="00E7211C" w:rsidRDefault="00F76C89" w:rsidP="00F76C89">
      <w:pPr>
        <w:jc w:val="both"/>
        <w:rPr>
          <w:rFonts w:asciiTheme="minorHAnsi" w:hAnsiTheme="minorHAnsi"/>
          <w:sz w:val="22"/>
          <w:szCs w:val="22"/>
        </w:rPr>
      </w:pPr>
    </w:p>
    <w:p w:rsidR="00F76C89" w:rsidRPr="00E7211C" w:rsidRDefault="00F76C89" w:rsidP="00F76C89">
      <w:pPr>
        <w:pStyle w:val="Overskrift1"/>
        <w:jc w:val="both"/>
        <w:rPr>
          <w:rFonts w:asciiTheme="minorHAnsi" w:hAnsiTheme="minorHAnsi"/>
          <w:szCs w:val="22"/>
        </w:rPr>
      </w:pPr>
      <w:bookmarkStart w:id="2" w:name="_Toc307157892"/>
      <w:bookmarkStart w:id="3" w:name="_Toc307157930"/>
      <w:r w:rsidRPr="00E7211C">
        <w:rPr>
          <w:rFonts w:asciiTheme="minorHAnsi" w:hAnsiTheme="minorHAnsi"/>
          <w:szCs w:val="22"/>
        </w:rPr>
        <w:t xml:space="preserve">Torsk </w:t>
      </w:r>
      <w:bookmarkEnd w:id="2"/>
      <w:bookmarkEnd w:id="3"/>
    </w:p>
    <w:p w:rsidR="00F76C89" w:rsidRPr="00E7211C" w:rsidRDefault="00F76C89" w:rsidP="00F76C89">
      <w:pPr>
        <w:rPr>
          <w:rFonts w:asciiTheme="minorHAnsi" w:hAnsiTheme="minorHAnsi"/>
          <w:i/>
          <w:sz w:val="22"/>
          <w:szCs w:val="22"/>
        </w:rPr>
      </w:pPr>
      <w:r w:rsidRPr="00E7211C">
        <w:rPr>
          <w:rFonts w:asciiTheme="minorHAnsi" w:hAnsiTheme="minorHAnsi"/>
          <w:i/>
          <w:sz w:val="22"/>
          <w:szCs w:val="22"/>
        </w:rPr>
        <w:t>Den vestlige Østersø</w:t>
      </w:r>
    </w:p>
    <w:p w:rsidR="00F76C89" w:rsidRPr="00E7211C" w:rsidRDefault="00F76C89" w:rsidP="00F76C89">
      <w:pPr>
        <w:numPr>
          <w:ilvl w:val="0"/>
          <w:numId w:val="15"/>
        </w:numPr>
        <w:spacing w:after="120" w:line="288" w:lineRule="auto"/>
        <w:ind w:left="714" w:hanging="357"/>
        <w:rPr>
          <w:rFonts w:asciiTheme="minorHAnsi" w:hAnsiTheme="minorHAnsi"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lastRenderedPageBreak/>
        <w:t xml:space="preserve">TAC i den vestlige Østersø </w:t>
      </w:r>
      <w:r w:rsidR="00940B51" w:rsidRPr="00786BCF">
        <w:rPr>
          <w:rFonts w:asciiTheme="minorHAnsi" w:hAnsiTheme="minorHAnsi"/>
          <w:sz w:val="22"/>
          <w:szCs w:val="22"/>
        </w:rPr>
        <w:t>øges</w:t>
      </w:r>
      <w:r w:rsidR="00DC3CF1" w:rsidRPr="00786BCF">
        <w:rPr>
          <w:rFonts w:asciiTheme="minorHAnsi" w:hAnsiTheme="minorHAnsi"/>
          <w:sz w:val="22"/>
          <w:szCs w:val="22"/>
        </w:rPr>
        <w:t xml:space="preserve"> </w:t>
      </w:r>
      <w:r w:rsidRPr="00786BCF">
        <w:rPr>
          <w:rFonts w:asciiTheme="minorHAnsi" w:hAnsiTheme="minorHAnsi"/>
          <w:sz w:val="22"/>
          <w:szCs w:val="22"/>
        </w:rPr>
        <w:t xml:space="preserve">med </w:t>
      </w:r>
      <w:r w:rsidR="001022E0">
        <w:rPr>
          <w:rFonts w:asciiTheme="minorHAnsi" w:hAnsiTheme="minorHAnsi"/>
          <w:sz w:val="22"/>
          <w:szCs w:val="22"/>
        </w:rPr>
        <w:t>5</w:t>
      </w:r>
      <w:r w:rsidR="00940B51" w:rsidRPr="00786BCF">
        <w:rPr>
          <w:rFonts w:asciiTheme="minorHAnsi" w:hAnsiTheme="minorHAnsi"/>
          <w:sz w:val="22"/>
          <w:szCs w:val="22"/>
        </w:rPr>
        <w:t xml:space="preserve"> </w:t>
      </w:r>
      <w:r w:rsidRPr="00786BCF">
        <w:rPr>
          <w:rFonts w:asciiTheme="minorHAnsi" w:hAnsiTheme="minorHAnsi"/>
          <w:sz w:val="22"/>
          <w:szCs w:val="22"/>
        </w:rPr>
        <w:t xml:space="preserve">% svarende til </w:t>
      </w:r>
      <w:r w:rsidR="001022E0">
        <w:rPr>
          <w:rFonts w:asciiTheme="minorHAnsi" w:hAnsiTheme="minorHAnsi"/>
          <w:sz w:val="22"/>
          <w:szCs w:val="22"/>
        </w:rPr>
        <w:t>4.000</w:t>
      </w:r>
      <w:r w:rsidRPr="00786BCF">
        <w:rPr>
          <w:rFonts w:asciiTheme="minorHAnsi" w:hAnsiTheme="minorHAnsi"/>
          <w:sz w:val="22"/>
          <w:szCs w:val="22"/>
        </w:rPr>
        <w:t xml:space="preserve"> tons</w:t>
      </w:r>
      <w:r w:rsidRPr="00E7211C">
        <w:rPr>
          <w:rFonts w:asciiTheme="minorHAnsi" w:hAnsiTheme="minorHAnsi"/>
          <w:sz w:val="22"/>
          <w:szCs w:val="22"/>
        </w:rPr>
        <w:t>.</w:t>
      </w:r>
    </w:p>
    <w:p w:rsidR="0041735B" w:rsidRPr="0041735B" w:rsidRDefault="00F76C89" w:rsidP="00DC3CF1">
      <w:pPr>
        <w:numPr>
          <w:ilvl w:val="0"/>
          <w:numId w:val="15"/>
        </w:numPr>
        <w:spacing w:after="120" w:line="288" w:lineRule="auto"/>
        <w:ind w:left="714" w:hanging="357"/>
        <w:rPr>
          <w:rFonts w:asciiTheme="minorHAnsi" w:hAnsiTheme="minorHAnsi"/>
          <w:b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t>Lukkeperioden, februar og marts,</w:t>
      </w:r>
      <w:r w:rsidR="00437285">
        <w:rPr>
          <w:rFonts w:asciiTheme="minorHAnsi" w:hAnsiTheme="minorHAnsi"/>
          <w:sz w:val="22"/>
          <w:szCs w:val="22"/>
        </w:rPr>
        <w:t xml:space="preserve"> videreføres</w:t>
      </w:r>
      <w:r w:rsidR="001022E0">
        <w:rPr>
          <w:rFonts w:asciiTheme="minorHAnsi" w:hAnsiTheme="minorHAnsi"/>
          <w:sz w:val="22"/>
          <w:szCs w:val="22"/>
        </w:rPr>
        <w:t xml:space="preserve"> for underområde 22 o</w:t>
      </w:r>
      <w:r w:rsidR="0041735B">
        <w:rPr>
          <w:rFonts w:asciiTheme="minorHAnsi" w:hAnsiTheme="minorHAnsi"/>
          <w:sz w:val="22"/>
          <w:szCs w:val="22"/>
        </w:rPr>
        <w:t>g 23</w:t>
      </w:r>
      <w:r w:rsidR="001022E0">
        <w:rPr>
          <w:rFonts w:asciiTheme="minorHAnsi" w:hAnsiTheme="minorHAnsi"/>
          <w:sz w:val="22"/>
          <w:szCs w:val="22"/>
        </w:rPr>
        <w:t xml:space="preserve">. I lukkeperiode </w:t>
      </w:r>
      <w:r w:rsidR="001022E0" w:rsidRPr="00F7751A">
        <w:rPr>
          <w:rFonts w:asciiTheme="minorHAnsi" w:hAnsiTheme="minorHAnsi"/>
          <w:sz w:val="22"/>
          <w:szCs w:val="22"/>
        </w:rPr>
        <w:t>er det forbudt at fiske på denne kvote, dog med visse undtagelser under særlige betingelser</w:t>
      </w:r>
      <w:r w:rsidR="001022E0">
        <w:rPr>
          <w:rFonts w:asciiTheme="minorHAnsi" w:hAnsiTheme="minorHAnsi"/>
          <w:sz w:val="22"/>
          <w:szCs w:val="22"/>
        </w:rPr>
        <w:t xml:space="preserve">. </w:t>
      </w:r>
    </w:p>
    <w:p w:rsidR="006D6CB1" w:rsidRPr="00294177" w:rsidRDefault="0052620F" w:rsidP="006D6CB1">
      <w:pPr>
        <w:numPr>
          <w:ilvl w:val="0"/>
          <w:numId w:val="15"/>
        </w:numPr>
        <w:spacing w:after="120" w:line="288" w:lineRule="auto"/>
        <w:ind w:left="714" w:hanging="357"/>
        <w:rPr>
          <w:rFonts w:asciiTheme="minorHAnsi" w:hAnsiTheme="minorHAnsi"/>
          <w:b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t>I underområde 24 dækker kvote</w:t>
      </w:r>
      <w:r w:rsidR="00294177">
        <w:rPr>
          <w:rFonts w:asciiTheme="minorHAnsi" w:hAnsiTheme="minorHAnsi"/>
          <w:sz w:val="22"/>
          <w:szCs w:val="22"/>
        </w:rPr>
        <w:t>n</w:t>
      </w:r>
      <w:r w:rsidRPr="00E7211C">
        <w:rPr>
          <w:rFonts w:asciiTheme="minorHAnsi" w:hAnsiTheme="minorHAnsi"/>
          <w:sz w:val="22"/>
          <w:szCs w:val="22"/>
        </w:rPr>
        <w:t xml:space="preserve"> alene bifangster</w:t>
      </w:r>
      <w:r w:rsidR="00294177">
        <w:rPr>
          <w:rFonts w:asciiTheme="minorHAnsi" w:hAnsiTheme="minorHAnsi"/>
          <w:sz w:val="22"/>
          <w:szCs w:val="22"/>
        </w:rPr>
        <w:t xml:space="preserve"> hele året</w:t>
      </w:r>
      <w:r w:rsidR="006D6CB1">
        <w:rPr>
          <w:rFonts w:asciiTheme="minorHAnsi" w:hAnsiTheme="minorHAnsi"/>
          <w:sz w:val="22"/>
          <w:szCs w:val="22"/>
        </w:rPr>
        <w:t>. Fartøjer under 12 meter, der fisker med passive redskaber, kan under visse betingelser fiske.</w:t>
      </w:r>
    </w:p>
    <w:p w:rsidR="00294177" w:rsidRPr="0041735B" w:rsidRDefault="00F7751A" w:rsidP="00F7751A">
      <w:pPr>
        <w:numPr>
          <w:ilvl w:val="0"/>
          <w:numId w:val="15"/>
        </w:numPr>
        <w:spacing w:after="120" w:line="288" w:lineRule="auto"/>
        <w:rPr>
          <w:rFonts w:asciiTheme="minorHAnsi" w:hAnsiTheme="minorHAnsi"/>
          <w:b/>
          <w:sz w:val="22"/>
          <w:szCs w:val="22"/>
        </w:rPr>
      </w:pPr>
      <w:r w:rsidRPr="00F7751A">
        <w:rPr>
          <w:rFonts w:asciiTheme="minorHAnsi" w:hAnsiTheme="minorHAnsi"/>
          <w:sz w:val="22"/>
          <w:szCs w:val="22"/>
        </w:rPr>
        <w:t>I perioden fra den 15. maj til 15. august 2021 er det forbudt at fiske på denne kvote i område 24, dog med visse undtagelser under særlige betingelser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DC3CF1" w:rsidRPr="0052620F" w:rsidRDefault="00F76C89" w:rsidP="0052620F">
      <w:pPr>
        <w:numPr>
          <w:ilvl w:val="0"/>
          <w:numId w:val="15"/>
        </w:numPr>
        <w:spacing w:after="120" w:line="288" w:lineRule="auto"/>
        <w:ind w:left="714" w:hanging="357"/>
        <w:rPr>
          <w:rFonts w:asciiTheme="minorHAnsi" w:hAnsiTheme="minorHAnsi"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t>Antal torsk som lyst- og fritidsfiskere må tage med i land pr. dag bliver i 20</w:t>
      </w:r>
      <w:r w:rsidR="00DC3CF1" w:rsidRPr="00E7211C">
        <w:rPr>
          <w:rFonts w:asciiTheme="minorHAnsi" w:hAnsiTheme="minorHAnsi"/>
          <w:sz w:val="22"/>
          <w:szCs w:val="22"/>
        </w:rPr>
        <w:t>2</w:t>
      </w:r>
      <w:r w:rsidR="00062738">
        <w:rPr>
          <w:rFonts w:asciiTheme="minorHAnsi" w:hAnsiTheme="minorHAnsi"/>
          <w:sz w:val="22"/>
          <w:szCs w:val="22"/>
        </w:rPr>
        <w:t>1</w:t>
      </w:r>
      <w:r w:rsidRPr="00E7211C">
        <w:rPr>
          <w:rFonts w:asciiTheme="minorHAnsi" w:hAnsiTheme="minorHAnsi"/>
          <w:sz w:val="22"/>
          <w:szCs w:val="22"/>
        </w:rPr>
        <w:t xml:space="preserve"> </w:t>
      </w:r>
      <w:r w:rsidR="00437285">
        <w:rPr>
          <w:rFonts w:asciiTheme="minorHAnsi" w:hAnsiTheme="minorHAnsi"/>
          <w:sz w:val="22"/>
          <w:szCs w:val="22"/>
        </w:rPr>
        <w:t xml:space="preserve">uændret </w:t>
      </w:r>
      <w:r w:rsidR="00436027">
        <w:rPr>
          <w:rFonts w:asciiTheme="minorHAnsi" w:hAnsiTheme="minorHAnsi"/>
          <w:sz w:val="22"/>
          <w:szCs w:val="22"/>
        </w:rPr>
        <w:t>fem</w:t>
      </w:r>
      <w:r w:rsidRPr="00E7211C">
        <w:rPr>
          <w:rFonts w:asciiTheme="minorHAnsi" w:hAnsiTheme="minorHAnsi"/>
          <w:sz w:val="22"/>
          <w:szCs w:val="22"/>
        </w:rPr>
        <w:t xml:space="preserve"> stk.</w:t>
      </w:r>
      <w:r w:rsidR="00436027">
        <w:rPr>
          <w:rFonts w:asciiTheme="minorHAnsi" w:hAnsiTheme="minorHAnsi"/>
          <w:sz w:val="22"/>
          <w:szCs w:val="22"/>
        </w:rPr>
        <w:t>, dog kun to stk. i februar og marts.</w:t>
      </w:r>
    </w:p>
    <w:p w:rsidR="00294177" w:rsidRPr="00294177" w:rsidRDefault="00DC3CF1" w:rsidP="003B45AA">
      <w:pPr>
        <w:numPr>
          <w:ilvl w:val="0"/>
          <w:numId w:val="15"/>
        </w:numPr>
        <w:spacing w:after="200" w:line="276" w:lineRule="auto"/>
        <w:ind w:left="714" w:hanging="357"/>
        <w:jc w:val="both"/>
        <w:rPr>
          <w:rFonts w:asciiTheme="minorHAnsi" w:hAnsiTheme="minorHAnsi"/>
          <w:i/>
          <w:sz w:val="22"/>
          <w:szCs w:val="22"/>
        </w:rPr>
      </w:pPr>
      <w:r w:rsidRPr="00294177">
        <w:rPr>
          <w:rFonts w:asciiTheme="minorHAnsi" w:hAnsiTheme="minorHAnsi"/>
          <w:sz w:val="22"/>
          <w:szCs w:val="22"/>
        </w:rPr>
        <w:t xml:space="preserve">Rekreativt fiskeri i underområde 24 må </w:t>
      </w:r>
      <w:r w:rsidR="00E7211C" w:rsidRPr="00294177">
        <w:rPr>
          <w:rFonts w:asciiTheme="minorHAnsi" w:hAnsiTheme="minorHAnsi"/>
          <w:sz w:val="22"/>
          <w:szCs w:val="22"/>
        </w:rPr>
        <w:t xml:space="preserve">kun </w:t>
      </w:r>
      <w:r w:rsidRPr="00294177">
        <w:rPr>
          <w:rFonts w:asciiTheme="minorHAnsi" w:hAnsiTheme="minorHAnsi"/>
          <w:sz w:val="22"/>
          <w:szCs w:val="22"/>
        </w:rPr>
        <w:t xml:space="preserve">ske ud til </w:t>
      </w:r>
      <w:r w:rsidR="003D724E" w:rsidRPr="00294177">
        <w:rPr>
          <w:rFonts w:asciiTheme="minorHAnsi" w:hAnsiTheme="minorHAnsi"/>
          <w:sz w:val="22"/>
          <w:szCs w:val="22"/>
        </w:rPr>
        <w:t>seks</w:t>
      </w:r>
      <w:r w:rsidR="00062738" w:rsidRPr="00294177">
        <w:rPr>
          <w:rFonts w:asciiTheme="minorHAnsi" w:hAnsiTheme="minorHAnsi"/>
          <w:sz w:val="22"/>
          <w:szCs w:val="22"/>
        </w:rPr>
        <w:t xml:space="preserve"> </w:t>
      </w:r>
      <w:r w:rsidR="00EA598C" w:rsidRPr="00294177">
        <w:rPr>
          <w:rFonts w:asciiTheme="minorHAnsi" w:hAnsiTheme="minorHAnsi"/>
          <w:sz w:val="22"/>
          <w:szCs w:val="22"/>
        </w:rPr>
        <w:t>sømil</w:t>
      </w:r>
      <w:r w:rsidRPr="00294177">
        <w:rPr>
          <w:rFonts w:asciiTheme="minorHAnsi" w:hAnsiTheme="minorHAnsi"/>
          <w:sz w:val="22"/>
          <w:szCs w:val="22"/>
        </w:rPr>
        <w:t xml:space="preserve"> grænsen</w:t>
      </w:r>
      <w:r w:rsidR="006D6CB1" w:rsidRPr="00294177">
        <w:rPr>
          <w:rFonts w:asciiTheme="minorHAnsi" w:hAnsiTheme="minorHAnsi"/>
          <w:sz w:val="22"/>
          <w:szCs w:val="22"/>
        </w:rPr>
        <w:t>.</w:t>
      </w:r>
    </w:p>
    <w:p w:rsidR="00294177" w:rsidRDefault="00294177" w:rsidP="00294177">
      <w:pPr>
        <w:spacing w:after="200" w:line="276" w:lineRule="auto"/>
        <w:ind w:left="357"/>
        <w:jc w:val="both"/>
        <w:rPr>
          <w:rFonts w:asciiTheme="minorHAnsi" w:hAnsiTheme="minorHAnsi"/>
          <w:i/>
          <w:sz w:val="22"/>
          <w:szCs w:val="22"/>
        </w:rPr>
      </w:pPr>
    </w:p>
    <w:p w:rsidR="00F76C89" w:rsidRPr="00294177" w:rsidRDefault="00F76C89" w:rsidP="00294177">
      <w:pPr>
        <w:spacing w:after="200" w:line="276" w:lineRule="auto"/>
        <w:ind w:left="357"/>
        <w:jc w:val="both"/>
        <w:rPr>
          <w:rFonts w:asciiTheme="minorHAnsi" w:hAnsiTheme="minorHAnsi"/>
          <w:i/>
          <w:sz w:val="22"/>
          <w:szCs w:val="22"/>
        </w:rPr>
      </w:pPr>
      <w:r w:rsidRPr="00294177">
        <w:rPr>
          <w:rFonts w:asciiTheme="minorHAnsi" w:hAnsiTheme="minorHAnsi"/>
          <w:i/>
          <w:sz w:val="22"/>
          <w:szCs w:val="22"/>
        </w:rPr>
        <w:t>Den østlige Østersø</w:t>
      </w:r>
    </w:p>
    <w:p w:rsidR="00F76C89" w:rsidRPr="00E7211C" w:rsidRDefault="00F76C89" w:rsidP="00F76C89">
      <w:pPr>
        <w:numPr>
          <w:ilvl w:val="0"/>
          <w:numId w:val="15"/>
        </w:numPr>
        <w:spacing w:after="120" w:line="288" w:lineRule="auto"/>
        <w:ind w:left="714" w:hanging="357"/>
        <w:rPr>
          <w:rFonts w:asciiTheme="minorHAnsi" w:hAnsiTheme="minorHAnsi"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t xml:space="preserve">TAC i den østlige Østersø reduceres </w:t>
      </w:r>
      <w:r w:rsidR="00DC3CF1" w:rsidRPr="00E7211C">
        <w:rPr>
          <w:rFonts w:asciiTheme="minorHAnsi" w:hAnsiTheme="minorHAnsi"/>
          <w:sz w:val="22"/>
          <w:szCs w:val="22"/>
        </w:rPr>
        <w:t xml:space="preserve">med </w:t>
      </w:r>
      <w:r w:rsidR="00613C51" w:rsidRPr="00F7751A">
        <w:rPr>
          <w:rFonts w:asciiTheme="minorHAnsi" w:hAnsiTheme="minorHAnsi"/>
          <w:szCs w:val="22"/>
        </w:rPr>
        <w:t>70</w:t>
      </w:r>
      <w:r w:rsidRPr="00F7751A">
        <w:rPr>
          <w:rFonts w:asciiTheme="minorHAnsi" w:hAnsiTheme="minorHAnsi"/>
          <w:szCs w:val="22"/>
        </w:rPr>
        <w:t xml:space="preserve"> % svarende til </w:t>
      </w:r>
      <w:r w:rsidR="00062738" w:rsidRPr="00F7751A">
        <w:rPr>
          <w:rFonts w:asciiTheme="minorHAnsi" w:hAnsiTheme="minorHAnsi"/>
          <w:szCs w:val="22"/>
        </w:rPr>
        <w:t>595</w:t>
      </w:r>
      <w:r w:rsidR="00E7211C" w:rsidRPr="00F7751A">
        <w:rPr>
          <w:rFonts w:asciiTheme="minorHAnsi" w:hAnsiTheme="minorHAnsi"/>
          <w:szCs w:val="22"/>
        </w:rPr>
        <w:t xml:space="preserve"> </w:t>
      </w:r>
      <w:r w:rsidR="00DC3CF1" w:rsidRPr="00F7751A">
        <w:rPr>
          <w:rFonts w:asciiTheme="minorHAnsi" w:hAnsiTheme="minorHAnsi"/>
          <w:szCs w:val="22"/>
        </w:rPr>
        <w:t>tons for</w:t>
      </w:r>
      <w:r w:rsidR="00DC3CF1" w:rsidRPr="00940B51">
        <w:rPr>
          <w:rFonts w:asciiTheme="minorHAnsi" w:hAnsiTheme="minorHAnsi"/>
          <w:szCs w:val="22"/>
        </w:rPr>
        <w:t xml:space="preserve"> 202</w:t>
      </w:r>
      <w:r w:rsidR="00062738" w:rsidRPr="00940B51">
        <w:rPr>
          <w:rFonts w:asciiTheme="minorHAnsi" w:hAnsiTheme="minorHAnsi"/>
          <w:szCs w:val="22"/>
        </w:rPr>
        <w:t>1</w:t>
      </w:r>
      <w:r w:rsidR="00DC3CF1" w:rsidRPr="00E7211C">
        <w:rPr>
          <w:rFonts w:asciiTheme="minorHAnsi" w:hAnsiTheme="minorHAnsi"/>
          <w:sz w:val="22"/>
          <w:szCs w:val="22"/>
        </w:rPr>
        <w:t>, og dækker alene bifangster</w:t>
      </w:r>
      <w:r w:rsidRPr="00E7211C">
        <w:rPr>
          <w:rFonts w:asciiTheme="minorHAnsi" w:hAnsiTheme="minorHAnsi"/>
          <w:sz w:val="22"/>
          <w:szCs w:val="22"/>
        </w:rPr>
        <w:t>.</w:t>
      </w:r>
    </w:p>
    <w:p w:rsidR="00664628" w:rsidRPr="0041735B" w:rsidRDefault="00F76C89" w:rsidP="00664628">
      <w:pPr>
        <w:numPr>
          <w:ilvl w:val="0"/>
          <w:numId w:val="15"/>
        </w:numPr>
        <w:spacing w:after="120" w:line="288" w:lineRule="auto"/>
        <w:ind w:left="714" w:hanging="357"/>
        <w:rPr>
          <w:rFonts w:asciiTheme="minorHAnsi" w:hAnsiTheme="minorHAnsi"/>
          <w:b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t xml:space="preserve">Der fastsættes en lukkeperiode for område 25-26, som gælder fra den 1. </w:t>
      </w:r>
      <w:r w:rsidR="00DC3CF1" w:rsidRPr="00E7211C">
        <w:rPr>
          <w:rFonts w:asciiTheme="minorHAnsi" w:hAnsiTheme="minorHAnsi"/>
          <w:sz w:val="22"/>
          <w:szCs w:val="22"/>
        </w:rPr>
        <w:t>maj</w:t>
      </w:r>
      <w:r w:rsidRPr="00E7211C">
        <w:rPr>
          <w:rFonts w:asciiTheme="minorHAnsi" w:hAnsiTheme="minorHAnsi"/>
          <w:sz w:val="22"/>
          <w:szCs w:val="22"/>
        </w:rPr>
        <w:t xml:space="preserve"> til den 31. </w:t>
      </w:r>
      <w:r w:rsidR="00DC3CF1" w:rsidRPr="00E7211C">
        <w:rPr>
          <w:rFonts w:asciiTheme="minorHAnsi" w:hAnsiTheme="minorHAnsi"/>
          <w:sz w:val="22"/>
          <w:szCs w:val="22"/>
        </w:rPr>
        <w:t>august</w:t>
      </w:r>
      <w:r w:rsidRPr="00E7211C">
        <w:rPr>
          <w:rFonts w:asciiTheme="minorHAnsi" w:hAnsiTheme="minorHAnsi"/>
          <w:sz w:val="22"/>
          <w:szCs w:val="22"/>
        </w:rPr>
        <w:t xml:space="preserve"> 20</w:t>
      </w:r>
      <w:r w:rsidR="00DC3CF1" w:rsidRPr="00E7211C">
        <w:rPr>
          <w:rFonts w:asciiTheme="minorHAnsi" w:hAnsiTheme="minorHAnsi"/>
          <w:sz w:val="22"/>
          <w:szCs w:val="22"/>
        </w:rPr>
        <w:t>2</w:t>
      </w:r>
      <w:r w:rsidR="00062738">
        <w:rPr>
          <w:rFonts w:asciiTheme="minorHAnsi" w:hAnsiTheme="minorHAnsi"/>
          <w:sz w:val="22"/>
          <w:szCs w:val="22"/>
        </w:rPr>
        <w:t>1</w:t>
      </w:r>
      <w:r w:rsidR="001022E0">
        <w:rPr>
          <w:rFonts w:asciiTheme="minorHAnsi" w:hAnsiTheme="minorHAnsi"/>
          <w:sz w:val="22"/>
          <w:szCs w:val="22"/>
        </w:rPr>
        <w:t xml:space="preserve">, </w:t>
      </w:r>
      <w:r w:rsidR="001022E0" w:rsidRPr="00F7751A">
        <w:rPr>
          <w:rFonts w:asciiTheme="minorHAnsi" w:hAnsiTheme="minorHAnsi"/>
          <w:sz w:val="22"/>
          <w:szCs w:val="22"/>
        </w:rPr>
        <w:t xml:space="preserve">dog med visse undtagelser </w:t>
      </w:r>
      <w:r w:rsidR="001022E0" w:rsidRPr="00F7751A">
        <w:rPr>
          <w:rFonts w:asciiTheme="minorHAnsi" w:hAnsiTheme="minorHAnsi"/>
          <w:sz w:val="22"/>
          <w:szCs w:val="22"/>
        </w:rPr>
        <w:lastRenderedPageBreak/>
        <w:t>under særlige betingelser</w:t>
      </w:r>
      <w:r w:rsidR="001022E0" w:rsidRPr="001022E0">
        <w:rPr>
          <w:rFonts w:asciiTheme="minorHAnsi" w:hAnsiTheme="minorHAnsi"/>
          <w:sz w:val="22"/>
          <w:szCs w:val="22"/>
        </w:rPr>
        <w:t xml:space="preserve"> </w:t>
      </w:r>
      <w:r w:rsidR="001022E0" w:rsidRPr="00F7751A">
        <w:rPr>
          <w:rFonts w:asciiTheme="minorHAnsi" w:hAnsiTheme="minorHAnsi"/>
          <w:sz w:val="22"/>
          <w:szCs w:val="22"/>
        </w:rPr>
        <w:t>dog med visse undtagelser under særlige betingelser</w:t>
      </w:r>
      <w:r w:rsidRPr="00E7211C">
        <w:rPr>
          <w:rFonts w:asciiTheme="minorHAnsi" w:hAnsiTheme="minorHAnsi"/>
          <w:sz w:val="22"/>
          <w:szCs w:val="22"/>
        </w:rPr>
        <w:t xml:space="preserve">. </w:t>
      </w:r>
    </w:p>
    <w:p w:rsidR="00F76C89" w:rsidRPr="00E7211C" w:rsidRDefault="00F76C89" w:rsidP="00F76C89">
      <w:pPr>
        <w:pStyle w:val="Overskrift1"/>
        <w:jc w:val="both"/>
        <w:rPr>
          <w:rFonts w:asciiTheme="minorHAnsi" w:hAnsiTheme="minorHAnsi"/>
          <w:szCs w:val="22"/>
        </w:rPr>
      </w:pPr>
      <w:r w:rsidRPr="00E7211C">
        <w:rPr>
          <w:rFonts w:asciiTheme="minorHAnsi" w:hAnsiTheme="minorHAnsi"/>
          <w:szCs w:val="22"/>
        </w:rPr>
        <w:t>Sild</w:t>
      </w:r>
    </w:p>
    <w:p w:rsidR="00F76C89" w:rsidRPr="00E7211C" w:rsidRDefault="00C77E4D" w:rsidP="00F76C89">
      <w:pPr>
        <w:pStyle w:val="Listeafsni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TAC </w:t>
      </w:r>
      <w:r w:rsidR="00F76C89" w:rsidRPr="00E7211C">
        <w:rPr>
          <w:rFonts w:asciiTheme="minorHAnsi" w:hAnsiTheme="minorHAnsi"/>
          <w:sz w:val="22"/>
          <w:szCs w:val="22"/>
        </w:rPr>
        <w:t xml:space="preserve">for sild i den vestlige Østersø reduceres med </w:t>
      </w:r>
      <w:r w:rsidR="00062738" w:rsidRPr="00294177">
        <w:rPr>
          <w:rFonts w:asciiTheme="minorHAnsi" w:hAnsiTheme="minorHAnsi"/>
          <w:sz w:val="22"/>
          <w:szCs w:val="22"/>
        </w:rPr>
        <w:t>50</w:t>
      </w:r>
      <w:r w:rsidR="00DC3CF1" w:rsidRPr="00294177">
        <w:rPr>
          <w:rFonts w:asciiTheme="minorHAnsi" w:hAnsiTheme="minorHAnsi"/>
          <w:sz w:val="22"/>
          <w:szCs w:val="22"/>
        </w:rPr>
        <w:t xml:space="preserve"> </w:t>
      </w:r>
      <w:r w:rsidR="00F76C89" w:rsidRPr="00294177">
        <w:rPr>
          <w:rFonts w:asciiTheme="minorHAnsi" w:hAnsiTheme="minorHAnsi"/>
          <w:sz w:val="22"/>
          <w:szCs w:val="22"/>
        </w:rPr>
        <w:t xml:space="preserve">% svarende til </w:t>
      </w:r>
      <w:r w:rsidR="00062738" w:rsidRPr="00294177">
        <w:rPr>
          <w:rFonts w:asciiTheme="minorHAnsi" w:hAnsiTheme="minorHAnsi"/>
          <w:sz w:val="22"/>
          <w:szCs w:val="22"/>
        </w:rPr>
        <w:t>1.575</w:t>
      </w:r>
      <w:r w:rsidR="00F76C89" w:rsidRPr="00294177">
        <w:rPr>
          <w:rFonts w:asciiTheme="minorHAnsi" w:hAnsiTheme="minorHAnsi"/>
          <w:sz w:val="22"/>
          <w:szCs w:val="22"/>
        </w:rPr>
        <w:t xml:space="preserve"> tons.</w:t>
      </w:r>
      <w:r w:rsidR="00F76C89" w:rsidRPr="00E7211C">
        <w:rPr>
          <w:rFonts w:asciiTheme="minorHAnsi" w:hAnsiTheme="minorHAnsi"/>
          <w:sz w:val="22"/>
          <w:szCs w:val="22"/>
        </w:rPr>
        <w:br/>
      </w:r>
    </w:p>
    <w:p w:rsidR="00F76C89" w:rsidRPr="00E7211C" w:rsidRDefault="00F76C89" w:rsidP="00F76C89">
      <w:pPr>
        <w:pStyle w:val="Listeafsnit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t xml:space="preserve">I den centrale Østersø reduceres </w:t>
      </w:r>
      <w:r w:rsidR="00C77E4D">
        <w:rPr>
          <w:rFonts w:asciiTheme="minorHAnsi" w:hAnsiTheme="minorHAnsi"/>
          <w:sz w:val="22"/>
          <w:szCs w:val="22"/>
        </w:rPr>
        <w:t>TAC</w:t>
      </w:r>
      <w:r w:rsidRPr="00E7211C">
        <w:rPr>
          <w:rFonts w:asciiTheme="minorHAnsi" w:hAnsiTheme="minorHAnsi"/>
          <w:sz w:val="22"/>
          <w:szCs w:val="22"/>
        </w:rPr>
        <w:t xml:space="preserve"> med </w:t>
      </w:r>
      <w:r w:rsidR="00062738" w:rsidRPr="00294177">
        <w:rPr>
          <w:rFonts w:asciiTheme="minorHAnsi" w:hAnsiTheme="minorHAnsi"/>
          <w:sz w:val="22"/>
          <w:szCs w:val="22"/>
        </w:rPr>
        <w:t>36</w:t>
      </w:r>
      <w:r w:rsidR="0058161B" w:rsidRPr="00294177">
        <w:rPr>
          <w:rFonts w:asciiTheme="minorHAnsi" w:hAnsiTheme="minorHAnsi"/>
          <w:sz w:val="22"/>
          <w:szCs w:val="22"/>
        </w:rPr>
        <w:t xml:space="preserve"> % svarende til </w:t>
      </w:r>
      <w:r w:rsidR="00673686">
        <w:rPr>
          <w:rFonts w:asciiTheme="minorHAnsi" w:hAnsiTheme="minorHAnsi"/>
          <w:sz w:val="22"/>
          <w:szCs w:val="22"/>
        </w:rPr>
        <w:t>97.551</w:t>
      </w:r>
      <w:bookmarkStart w:id="4" w:name="_GoBack"/>
      <w:bookmarkEnd w:id="4"/>
      <w:r w:rsidR="0058161B" w:rsidRPr="00294177">
        <w:rPr>
          <w:rFonts w:asciiTheme="minorHAnsi" w:hAnsiTheme="minorHAnsi"/>
          <w:sz w:val="22"/>
          <w:szCs w:val="22"/>
        </w:rPr>
        <w:t xml:space="preserve"> tons.</w:t>
      </w:r>
    </w:p>
    <w:p w:rsidR="00F76C89" w:rsidRPr="00E7211C" w:rsidRDefault="00F76C89" w:rsidP="00F76C89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F76C89" w:rsidRPr="00270CD8" w:rsidRDefault="00F76C89" w:rsidP="00F76C89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270CD8">
        <w:rPr>
          <w:rFonts w:asciiTheme="minorHAnsi" w:hAnsiTheme="minorHAnsi"/>
          <w:b/>
          <w:sz w:val="22"/>
          <w:szCs w:val="22"/>
        </w:rPr>
        <w:t>Rødspætte</w:t>
      </w:r>
    </w:p>
    <w:p w:rsidR="00F76C89" w:rsidRPr="00E7211C" w:rsidRDefault="00F76C89" w:rsidP="00F76C89">
      <w:pPr>
        <w:numPr>
          <w:ilvl w:val="0"/>
          <w:numId w:val="17"/>
        </w:numPr>
        <w:spacing w:after="120" w:line="288" w:lineRule="auto"/>
        <w:jc w:val="both"/>
        <w:rPr>
          <w:rFonts w:asciiTheme="minorHAnsi" w:hAnsiTheme="minorHAnsi"/>
          <w:b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t xml:space="preserve">TAC for rødspætte </w:t>
      </w:r>
      <w:r w:rsidR="004032C4">
        <w:rPr>
          <w:rFonts w:asciiTheme="minorHAnsi" w:hAnsiTheme="minorHAnsi"/>
          <w:sz w:val="22"/>
          <w:szCs w:val="22"/>
        </w:rPr>
        <w:t xml:space="preserve">stiger med 5 % </w:t>
      </w:r>
      <w:r w:rsidR="00E80A97">
        <w:rPr>
          <w:rFonts w:asciiTheme="minorHAnsi" w:hAnsiTheme="minorHAnsi"/>
          <w:sz w:val="22"/>
          <w:szCs w:val="22"/>
        </w:rPr>
        <w:t xml:space="preserve">til 7.240 tons. </w:t>
      </w:r>
    </w:p>
    <w:p w:rsidR="00F76C89" w:rsidRPr="00E7211C" w:rsidRDefault="00F76C89" w:rsidP="00F76C89">
      <w:pPr>
        <w:pStyle w:val="Overskrift1"/>
        <w:jc w:val="both"/>
        <w:rPr>
          <w:rFonts w:asciiTheme="minorHAnsi" w:hAnsiTheme="minorHAnsi"/>
          <w:b w:val="0"/>
          <w:szCs w:val="22"/>
        </w:rPr>
      </w:pPr>
      <w:r w:rsidRPr="00E7211C">
        <w:rPr>
          <w:rFonts w:asciiTheme="minorHAnsi" w:hAnsiTheme="minorHAnsi"/>
          <w:szCs w:val="22"/>
        </w:rPr>
        <w:t>Brisling</w:t>
      </w:r>
    </w:p>
    <w:p w:rsidR="00F76C89" w:rsidRPr="00E7211C" w:rsidRDefault="00F76C89" w:rsidP="00F76C89">
      <w:pPr>
        <w:numPr>
          <w:ilvl w:val="0"/>
          <w:numId w:val="16"/>
        </w:numPr>
        <w:spacing w:line="288" w:lineRule="auto"/>
        <w:rPr>
          <w:rFonts w:asciiTheme="minorHAnsi" w:hAnsiTheme="minorHAnsi"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t xml:space="preserve">TAC for brisling </w:t>
      </w:r>
      <w:r w:rsidR="00132B89" w:rsidRPr="00294177">
        <w:rPr>
          <w:rFonts w:asciiTheme="minorHAnsi" w:hAnsiTheme="minorHAnsi"/>
          <w:sz w:val="22"/>
          <w:szCs w:val="22"/>
        </w:rPr>
        <w:t>stiger med 6</w:t>
      </w:r>
      <w:r w:rsidR="0058161B" w:rsidRPr="00294177">
        <w:rPr>
          <w:rFonts w:asciiTheme="minorHAnsi" w:hAnsiTheme="minorHAnsi"/>
          <w:sz w:val="22"/>
          <w:szCs w:val="22"/>
        </w:rPr>
        <w:t xml:space="preserve"> %</w:t>
      </w:r>
      <w:r w:rsidRPr="00294177">
        <w:rPr>
          <w:rFonts w:asciiTheme="minorHAnsi" w:hAnsiTheme="minorHAnsi"/>
          <w:sz w:val="22"/>
          <w:szCs w:val="22"/>
        </w:rPr>
        <w:t xml:space="preserve"> svarende til </w:t>
      </w:r>
      <w:r w:rsidR="00132B89" w:rsidRPr="00294177">
        <w:rPr>
          <w:rFonts w:asciiTheme="minorHAnsi" w:hAnsiTheme="minorHAnsi"/>
          <w:sz w:val="22"/>
          <w:szCs w:val="22"/>
        </w:rPr>
        <w:t>222.958</w:t>
      </w:r>
      <w:r w:rsidR="00D51A39" w:rsidRPr="00294177">
        <w:rPr>
          <w:rFonts w:asciiTheme="minorHAnsi" w:hAnsiTheme="minorHAnsi"/>
          <w:sz w:val="22"/>
          <w:szCs w:val="22"/>
        </w:rPr>
        <w:t xml:space="preserve"> ton</w:t>
      </w:r>
      <w:r w:rsidRPr="00294177">
        <w:rPr>
          <w:rFonts w:asciiTheme="minorHAnsi" w:hAnsiTheme="minorHAnsi"/>
          <w:sz w:val="22"/>
          <w:szCs w:val="22"/>
        </w:rPr>
        <w:t>s</w:t>
      </w:r>
      <w:r w:rsidRPr="00E7211C">
        <w:rPr>
          <w:rFonts w:asciiTheme="minorHAnsi" w:hAnsiTheme="minorHAnsi"/>
          <w:sz w:val="22"/>
          <w:szCs w:val="22"/>
        </w:rPr>
        <w:t xml:space="preserve">. </w:t>
      </w:r>
    </w:p>
    <w:p w:rsidR="00F76C89" w:rsidRPr="00E7211C" w:rsidRDefault="00F76C89" w:rsidP="00F76C89">
      <w:pPr>
        <w:rPr>
          <w:rFonts w:asciiTheme="minorHAnsi" w:hAnsiTheme="minorHAnsi"/>
          <w:sz w:val="22"/>
          <w:szCs w:val="22"/>
        </w:rPr>
      </w:pPr>
    </w:p>
    <w:p w:rsidR="00F76C89" w:rsidRPr="00E7211C" w:rsidRDefault="00F76C89" w:rsidP="00F76C89">
      <w:pPr>
        <w:rPr>
          <w:rFonts w:asciiTheme="minorHAnsi" w:hAnsiTheme="minorHAnsi"/>
          <w:sz w:val="22"/>
          <w:szCs w:val="22"/>
        </w:rPr>
      </w:pPr>
    </w:p>
    <w:p w:rsidR="00F76C89" w:rsidRPr="00E7211C" w:rsidRDefault="00F76C89" w:rsidP="00F76C89">
      <w:pPr>
        <w:rPr>
          <w:rFonts w:asciiTheme="minorHAnsi" w:hAnsiTheme="minorHAnsi"/>
          <w:b/>
          <w:sz w:val="22"/>
          <w:szCs w:val="22"/>
        </w:rPr>
      </w:pPr>
      <w:r w:rsidRPr="00E7211C">
        <w:rPr>
          <w:rFonts w:asciiTheme="minorHAnsi" w:hAnsiTheme="minorHAnsi"/>
          <w:b/>
          <w:sz w:val="22"/>
          <w:szCs w:val="22"/>
        </w:rPr>
        <w:t>Andre elementer vedtaget i forbindelse med Østersø-forslaget</w:t>
      </w:r>
    </w:p>
    <w:p w:rsidR="00F76C89" w:rsidRPr="00E7211C" w:rsidRDefault="00F76C89" w:rsidP="00F76C89">
      <w:pPr>
        <w:rPr>
          <w:rFonts w:asciiTheme="minorHAnsi" w:hAnsiTheme="minorHAnsi"/>
          <w:b/>
          <w:sz w:val="22"/>
          <w:szCs w:val="22"/>
        </w:rPr>
      </w:pPr>
    </w:p>
    <w:p w:rsidR="00F76C89" w:rsidRPr="00E7211C" w:rsidRDefault="00F76C89" w:rsidP="00F76C89">
      <w:pPr>
        <w:rPr>
          <w:rFonts w:asciiTheme="minorHAnsi" w:hAnsiTheme="minorHAnsi"/>
          <w:sz w:val="22"/>
          <w:szCs w:val="22"/>
        </w:rPr>
      </w:pPr>
      <w:r w:rsidRPr="00E7211C">
        <w:rPr>
          <w:rFonts w:asciiTheme="minorHAnsi" w:hAnsiTheme="minorHAnsi"/>
          <w:sz w:val="22"/>
          <w:szCs w:val="22"/>
        </w:rPr>
        <w:t>Sperling i Nordsøen, Skagerrak og Kattegat</w:t>
      </w:r>
    </w:p>
    <w:p w:rsidR="00F76C89" w:rsidRPr="00E7211C" w:rsidRDefault="00F76C89" w:rsidP="00F76C89">
      <w:pPr>
        <w:rPr>
          <w:rFonts w:asciiTheme="minorHAnsi" w:hAnsiTheme="minorHAnsi"/>
          <w:sz w:val="22"/>
          <w:szCs w:val="22"/>
        </w:rPr>
      </w:pPr>
    </w:p>
    <w:p w:rsidR="00F76C89" w:rsidRPr="00E7211C" w:rsidRDefault="00270CD8" w:rsidP="00F76C89">
      <w:pPr>
        <w:pStyle w:val="Listeafsnit"/>
        <w:numPr>
          <w:ilvl w:val="0"/>
          <w:numId w:val="16"/>
        </w:numPr>
        <w:spacing w:after="120" w:line="288" w:lineRule="auto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foreløbig </w:t>
      </w:r>
      <w:r w:rsidR="00F76C89" w:rsidRPr="00E7211C">
        <w:rPr>
          <w:rFonts w:asciiTheme="minorHAnsi" w:hAnsiTheme="minorHAnsi"/>
          <w:sz w:val="22"/>
          <w:szCs w:val="22"/>
        </w:rPr>
        <w:t>TAC for sperling i Nordsøen, Skagerrak og Kattegat fastsættes for perioden 1. november 20</w:t>
      </w:r>
      <w:r w:rsidR="00062738">
        <w:rPr>
          <w:rFonts w:asciiTheme="minorHAnsi" w:hAnsiTheme="minorHAnsi"/>
          <w:sz w:val="22"/>
          <w:szCs w:val="22"/>
        </w:rPr>
        <w:t>20</w:t>
      </w:r>
      <w:r w:rsidR="00F76C89" w:rsidRPr="00E7211C">
        <w:rPr>
          <w:rFonts w:asciiTheme="minorHAnsi" w:hAnsiTheme="minorHAnsi"/>
          <w:sz w:val="22"/>
          <w:szCs w:val="22"/>
        </w:rPr>
        <w:t xml:space="preserve"> til 31. </w:t>
      </w:r>
      <w:r w:rsidR="00647182">
        <w:rPr>
          <w:rFonts w:asciiTheme="minorHAnsi" w:hAnsiTheme="minorHAnsi"/>
          <w:sz w:val="22"/>
          <w:szCs w:val="22"/>
        </w:rPr>
        <w:t>december 2020</w:t>
      </w:r>
      <w:r w:rsidR="00F76C89" w:rsidRPr="00E7211C">
        <w:rPr>
          <w:rFonts w:asciiTheme="minorHAnsi" w:hAnsiTheme="minorHAnsi"/>
          <w:sz w:val="22"/>
          <w:szCs w:val="22"/>
        </w:rPr>
        <w:t xml:space="preserve"> til</w:t>
      </w:r>
      <w:r w:rsidR="00664628">
        <w:rPr>
          <w:rFonts w:asciiTheme="minorHAnsi" w:hAnsiTheme="minorHAnsi"/>
          <w:sz w:val="22"/>
          <w:szCs w:val="22"/>
        </w:rPr>
        <w:t xml:space="preserve"> </w:t>
      </w:r>
      <w:r w:rsidR="00E80A97">
        <w:rPr>
          <w:rFonts w:asciiTheme="minorHAnsi" w:hAnsiTheme="minorHAnsi"/>
          <w:sz w:val="22"/>
          <w:szCs w:val="22"/>
        </w:rPr>
        <w:t>30.000</w:t>
      </w:r>
      <w:r w:rsidR="00062738">
        <w:rPr>
          <w:rFonts w:asciiTheme="minorHAnsi" w:hAnsiTheme="minorHAnsi"/>
          <w:sz w:val="22"/>
          <w:szCs w:val="22"/>
        </w:rPr>
        <w:t xml:space="preserve"> </w:t>
      </w:r>
      <w:r w:rsidR="00F76C89" w:rsidRPr="00E7211C">
        <w:rPr>
          <w:rFonts w:asciiTheme="minorHAnsi" w:hAnsiTheme="minorHAnsi"/>
          <w:sz w:val="22"/>
          <w:szCs w:val="22"/>
        </w:rPr>
        <w:t>tons.</w:t>
      </w:r>
    </w:p>
    <w:sectPr w:rsidR="00F76C89" w:rsidRPr="00E7211C" w:rsidSect="00A243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D6" w:rsidRDefault="002437D6">
      <w:r>
        <w:separator/>
      </w:r>
    </w:p>
  </w:endnote>
  <w:endnote w:type="continuationSeparator" w:id="0">
    <w:p w:rsidR="002437D6" w:rsidRDefault="0024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170E0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77" w:rsidRDefault="00A24377" w:rsidP="00DD3B48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73686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E0" w:rsidRPr="0014295B" w:rsidRDefault="009170E0" w:rsidP="009170E0">
    <w:pPr>
      <w:pStyle w:val="Template-Address"/>
    </w:pPr>
    <w:bookmarkStart w:id="15" w:name="OFF_Institution"/>
    <w:bookmarkStart w:id="16" w:name="OFF_InstitutionHIF"/>
    <w:bookmarkStart w:id="17" w:name="XIF_MMFirstAddressLine"/>
    <w:r w:rsidRPr="0014295B">
      <w:t>Miljø- og Fødevareministeriet</w:t>
    </w:r>
    <w:bookmarkEnd w:id="15"/>
    <w:r w:rsidRPr="0014295B">
      <w:t xml:space="preserve"> </w:t>
    </w:r>
    <w:bookmarkEnd w:id="16"/>
    <w:r w:rsidRPr="0014295B">
      <w:t xml:space="preserve">• </w:t>
    </w:r>
    <w:bookmarkStart w:id="18" w:name="OFF_AddressA"/>
    <w:bookmarkStart w:id="19" w:name="OFF_AddressAHIF"/>
    <w:r w:rsidRPr="0014295B">
      <w:t>Slotsholmsgade 12</w:t>
    </w:r>
    <w:bookmarkEnd w:id="18"/>
    <w:r w:rsidRPr="0014295B">
      <w:t xml:space="preserve"> </w:t>
    </w:r>
    <w:bookmarkEnd w:id="19"/>
    <w:r w:rsidRPr="0014295B">
      <w:rPr>
        <w:vanish/>
      </w:rPr>
      <w:t xml:space="preserve">• </w:t>
    </w:r>
    <w:bookmarkStart w:id="20" w:name="OFF_AddressB"/>
    <w:bookmarkStart w:id="21" w:name="OFF_AddressBHIF"/>
    <w:bookmarkEnd w:id="20"/>
    <w:r w:rsidRPr="0014295B">
      <w:rPr>
        <w:vanish/>
      </w:rPr>
      <w:t xml:space="preserve"> </w:t>
    </w:r>
    <w:bookmarkEnd w:id="21"/>
    <w:r w:rsidRPr="0014295B">
      <w:rPr>
        <w:vanish/>
      </w:rPr>
      <w:t xml:space="preserve">• </w:t>
    </w:r>
    <w:bookmarkStart w:id="22" w:name="OFF_AddressC"/>
    <w:bookmarkStart w:id="23" w:name="OFF_AddressCHIF"/>
    <w:bookmarkEnd w:id="22"/>
    <w:r w:rsidRPr="0014295B">
      <w:rPr>
        <w:vanish/>
      </w:rPr>
      <w:t xml:space="preserve"> </w:t>
    </w:r>
    <w:bookmarkEnd w:id="23"/>
    <w:r w:rsidRPr="0014295B">
      <w:t xml:space="preserve">• </w:t>
    </w:r>
    <w:bookmarkStart w:id="24" w:name="OFF_AddressD"/>
    <w:bookmarkStart w:id="25" w:name="OFF_AddressDHIF"/>
    <w:r w:rsidRPr="0014295B">
      <w:t>1216</w:t>
    </w:r>
    <w:bookmarkEnd w:id="24"/>
    <w:r w:rsidRPr="0014295B">
      <w:t xml:space="preserve"> </w:t>
    </w:r>
    <w:bookmarkStart w:id="26" w:name="OFF_City"/>
    <w:r w:rsidRPr="0014295B">
      <w:t>København K</w:t>
    </w:r>
    <w:bookmarkEnd w:id="26"/>
    <w:r w:rsidRPr="0014295B">
      <w:t xml:space="preserve"> </w:t>
    </w:r>
    <w:bookmarkEnd w:id="25"/>
  </w:p>
  <w:p w:rsidR="009170E0" w:rsidRPr="005079EA" w:rsidRDefault="009170E0" w:rsidP="009170E0">
    <w:pPr>
      <w:pStyle w:val="Template-Address"/>
      <w:rPr>
        <w:lang w:val="en-GB"/>
      </w:rPr>
    </w:pPr>
    <w:bookmarkStart w:id="27" w:name="LAN_Phone"/>
    <w:bookmarkStart w:id="28" w:name="OFF_PhoneHIF"/>
    <w:bookmarkStart w:id="29" w:name="XIF_MMSecondAddressLine"/>
    <w:bookmarkEnd w:id="17"/>
    <w:r w:rsidRPr="009170E0">
      <w:rPr>
        <w:lang w:val="en-GB"/>
      </w:rPr>
      <w:t>Tlf.</w:t>
    </w:r>
    <w:bookmarkEnd w:id="27"/>
    <w:r w:rsidRPr="009170E0">
      <w:rPr>
        <w:lang w:val="en-GB"/>
      </w:rPr>
      <w:t xml:space="preserve"> </w:t>
    </w:r>
    <w:bookmarkStart w:id="30" w:name="OFF_Phone"/>
    <w:r w:rsidRPr="009170E0">
      <w:rPr>
        <w:lang w:val="en-GB"/>
      </w:rPr>
      <w:t>38 14 21 42</w:t>
    </w:r>
    <w:bookmarkEnd w:id="30"/>
    <w:r w:rsidRPr="009170E0">
      <w:rPr>
        <w:lang w:val="en-GB"/>
      </w:rPr>
      <w:t xml:space="preserve"> </w:t>
    </w:r>
    <w:bookmarkEnd w:id="28"/>
    <w:r w:rsidRPr="009170E0">
      <w:rPr>
        <w:lang w:val="en-GB"/>
      </w:rPr>
      <w:t xml:space="preserve">• </w:t>
    </w:r>
    <w:bookmarkStart w:id="31" w:name="LAN_Fax"/>
    <w:bookmarkStart w:id="32" w:name="OFF_FaxHIF"/>
    <w:r w:rsidRPr="009170E0">
      <w:rPr>
        <w:lang w:val="en-GB"/>
      </w:rPr>
      <w:t>Fax</w:t>
    </w:r>
    <w:bookmarkEnd w:id="31"/>
    <w:r w:rsidRPr="009170E0">
      <w:rPr>
        <w:lang w:val="en-GB"/>
      </w:rPr>
      <w:t xml:space="preserve"> </w:t>
    </w:r>
    <w:bookmarkStart w:id="33" w:name="OFF_Fax"/>
    <w:r w:rsidRPr="009170E0">
      <w:rPr>
        <w:lang w:val="en-GB"/>
      </w:rPr>
      <w:t>33 14 50 42</w:t>
    </w:r>
    <w:bookmarkEnd w:id="33"/>
    <w:r w:rsidRPr="009170E0">
      <w:rPr>
        <w:lang w:val="en-GB"/>
      </w:rPr>
      <w:t xml:space="preserve"> </w:t>
    </w:r>
    <w:bookmarkEnd w:id="32"/>
    <w:r w:rsidRPr="009170E0">
      <w:rPr>
        <w:lang w:val="en-GB"/>
      </w:rPr>
      <w:t xml:space="preserve">• </w:t>
    </w:r>
    <w:bookmarkStart w:id="34" w:name="OFF_CVRHIF"/>
    <w:r w:rsidRPr="009170E0">
      <w:rPr>
        <w:lang w:val="en-GB"/>
      </w:rPr>
      <w:t xml:space="preserve">CVR </w:t>
    </w:r>
    <w:bookmarkStart w:id="35" w:name="OFF_CVR"/>
    <w:r w:rsidRPr="009170E0">
      <w:rPr>
        <w:lang w:val="en-GB"/>
      </w:rPr>
      <w:t>12854358</w:t>
    </w:r>
    <w:bookmarkEnd w:id="35"/>
    <w:r w:rsidRPr="009170E0">
      <w:rPr>
        <w:lang w:val="en-GB"/>
      </w:rPr>
      <w:t xml:space="preserve"> </w:t>
    </w:r>
    <w:bookmarkEnd w:id="34"/>
    <w:r w:rsidRPr="009170E0">
      <w:rPr>
        <w:lang w:val="en-GB"/>
      </w:rPr>
      <w:t xml:space="preserve">• </w:t>
    </w:r>
    <w:bookmarkStart w:id="36" w:name="OFF_EANHIF"/>
    <w:r w:rsidRPr="009170E0">
      <w:rPr>
        <w:lang w:val="en-GB"/>
      </w:rPr>
      <w:t xml:space="preserve">EAN </w:t>
    </w:r>
    <w:bookmarkStart w:id="37" w:name="OFF_EAN"/>
    <w:r w:rsidRPr="009170E0">
      <w:rPr>
        <w:lang w:val="en-GB"/>
      </w:rPr>
      <w:t>5798000862005</w:t>
    </w:r>
    <w:bookmarkEnd w:id="37"/>
    <w:r w:rsidRPr="009170E0">
      <w:rPr>
        <w:lang w:val="en-GB"/>
      </w:rPr>
      <w:t xml:space="preserve"> </w:t>
    </w:r>
    <w:bookmarkEnd w:id="36"/>
    <w:r w:rsidRPr="009170E0">
      <w:rPr>
        <w:lang w:val="en-GB"/>
      </w:rPr>
      <w:t xml:space="preserve">• </w:t>
    </w:r>
    <w:bookmarkStart w:id="38" w:name="OFF_Email"/>
    <w:bookmarkStart w:id="39" w:name="OFF_EmailHIF"/>
    <w:r w:rsidRPr="009170E0">
      <w:rPr>
        <w:lang w:val="en-GB"/>
      </w:rPr>
      <w:t>mfvm@mfvm.dk</w:t>
    </w:r>
    <w:bookmarkEnd w:id="38"/>
    <w:r w:rsidRPr="009170E0">
      <w:rPr>
        <w:lang w:val="en-GB"/>
      </w:rPr>
      <w:t xml:space="preserve"> </w:t>
    </w:r>
    <w:bookmarkEnd w:id="39"/>
    <w:r w:rsidRPr="009170E0">
      <w:rPr>
        <w:lang w:val="en-GB"/>
      </w:rPr>
      <w:t xml:space="preserve">• </w:t>
    </w:r>
    <w:bookmarkStart w:id="40" w:name="OFF_Web"/>
    <w:bookmarkStart w:id="41" w:name="OFF_WebHIF"/>
    <w:r w:rsidRPr="009170E0">
      <w:rPr>
        <w:lang w:val="en-GB"/>
      </w:rPr>
      <w:t>www.mfvm.dk</w:t>
    </w:r>
    <w:bookmarkEnd w:id="40"/>
    <w:r w:rsidRPr="009170E0">
      <w:rPr>
        <w:lang w:val="en-GB"/>
      </w:rPr>
      <w:t xml:space="preserve"> </w:t>
    </w:r>
    <w:bookmarkEnd w:id="29"/>
    <w:bookmarkEnd w:id="41"/>
  </w:p>
  <w:p w:rsidR="0048667B" w:rsidRPr="0014295B" w:rsidRDefault="0048667B" w:rsidP="009170E0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D6" w:rsidRDefault="002437D6">
      <w:r>
        <w:separator/>
      </w:r>
    </w:p>
  </w:footnote>
  <w:footnote w:type="continuationSeparator" w:id="0">
    <w:p w:rsidR="002437D6" w:rsidRDefault="002437D6">
      <w:r>
        <w:continuationSeparator/>
      </w:r>
    </w:p>
  </w:footnote>
  <w:footnote w:id="1">
    <w:p w:rsidR="00F76C89" w:rsidRPr="007944BF" w:rsidRDefault="00F76C89" w:rsidP="00F76C89">
      <w:pPr>
        <w:pStyle w:val="Fodnotetekst"/>
        <w:rPr>
          <w:rFonts w:asciiTheme="majorHAnsi" w:hAnsiTheme="majorHAnsi"/>
          <w:sz w:val="16"/>
          <w:szCs w:val="16"/>
        </w:rPr>
      </w:pPr>
      <w:r w:rsidRPr="007944BF">
        <w:rPr>
          <w:rStyle w:val="Fodnotehenvisning"/>
          <w:rFonts w:asciiTheme="majorHAnsi" w:eastAsiaTheme="majorEastAsia" w:hAnsiTheme="majorHAnsi"/>
        </w:rPr>
        <w:footnoteRef/>
      </w:r>
      <w:r w:rsidRPr="007944BF">
        <w:rPr>
          <w:rFonts w:asciiTheme="majorHAnsi" w:hAnsiTheme="majorHAnsi"/>
        </w:rPr>
        <w:t xml:space="preserve"> </w:t>
      </w:r>
      <w:r w:rsidRPr="007944BF">
        <w:rPr>
          <w:rFonts w:asciiTheme="majorHAnsi" w:hAnsiTheme="majorHAnsi"/>
          <w:sz w:val="16"/>
          <w:szCs w:val="16"/>
        </w:rPr>
        <w:t>Alle henvisninger til forøgelser/reduktioner i TAC (samlede tilladte fangstmængder) er baseret på en procentv</w:t>
      </w:r>
      <w:r w:rsidR="00DC3CF1">
        <w:rPr>
          <w:rFonts w:asciiTheme="majorHAnsi" w:hAnsiTheme="majorHAnsi"/>
          <w:sz w:val="16"/>
          <w:szCs w:val="16"/>
        </w:rPr>
        <w:t>is sammenligning med TAC for 20</w:t>
      </w:r>
      <w:r w:rsidR="00C86646">
        <w:rPr>
          <w:rFonts w:asciiTheme="majorHAnsi" w:hAnsiTheme="majorHAnsi"/>
          <w:sz w:val="16"/>
          <w:szCs w:val="16"/>
        </w:rPr>
        <w:t>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  <w:bookmarkStart w:id="5" w:name="BIT_PrimaryHeader"/>
  </w:p>
  <w:bookmarkEnd w:id="5"/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E0" w:rsidRPr="009F7273" w:rsidRDefault="009170E0" w:rsidP="009170E0">
    <w:pPr>
      <w:rPr>
        <w:lang w:val="en-GB"/>
      </w:rPr>
    </w:pPr>
    <w:bookmarkStart w:id="6" w:name="BIT_DocumentName"/>
    <w:bookmarkEnd w:id="6"/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8896" cy="792480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8896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7273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E0F0FA2" wp14:editId="42D76A41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9170E0">
                            <w:trPr>
                              <w:cantSplit/>
                              <w:trHeight w:val="2778"/>
                              <w:hidden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9170E0" w:rsidRPr="009170E0" w:rsidRDefault="009170E0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7" w:name="LAN_CaseNo"/>
                                <w:bookmarkStart w:id="8" w:name="sagsnrHIF"/>
                                <w:r w:rsidRPr="009170E0">
                                  <w:rPr>
                                    <w:vanish/>
                                  </w:rPr>
                                  <w:t>J.nr.</w:t>
                                </w:r>
                                <w:bookmarkEnd w:id="7"/>
                                <w:r w:rsidRPr="009170E0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Start w:id="9" w:name="sagsnr"/>
                                <w:bookmarkEnd w:id="9"/>
                                <w:r w:rsidR="0096197F">
                                  <w:rPr>
                                    <w:vanish/>
                                  </w:rPr>
                                  <w:t>2020-9400</w:t>
                                </w:r>
                              </w:p>
                              <w:p w:rsidR="009170E0" w:rsidRDefault="009170E0" w:rsidP="005C0904">
                                <w:pPr>
                                  <w:pStyle w:val="Kolofontekst"/>
                                </w:pPr>
                                <w:bookmarkStart w:id="10" w:name="FLD_DocumentDate"/>
                                <w:bookmarkEnd w:id="8"/>
                                <w:r>
                                  <w:t xml:space="preserve">Den </w:t>
                                </w:r>
                                <w:bookmarkEnd w:id="10"/>
                                <w:r w:rsidR="005C0904">
                                  <w:t>20</w:t>
                                </w:r>
                                <w:r w:rsidR="009D4D7F">
                                  <w:t>. oktober 20</w:t>
                                </w:r>
                                <w:r w:rsidR="0096197F">
                                  <w:t>20</w:t>
                                </w:r>
                              </w:p>
                            </w:tc>
                          </w:tr>
                        </w:tbl>
                        <w:p w:rsidR="009170E0" w:rsidRDefault="009170E0" w:rsidP="009170E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F0FA2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9170E0">
                      <w:trPr>
                        <w:cantSplit/>
                        <w:trHeight w:val="2778"/>
                        <w:hidden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9170E0" w:rsidRPr="009170E0" w:rsidRDefault="009170E0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11" w:name="LAN_CaseNo"/>
                          <w:bookmarkStart w:id="12" w:name="sagsnrHIF"/>
                          <w:r w:rsidRPr="009170E0">
                            <w:rPr>
                              <w:vanish/>
                            </w:rPr>
                            <w:t>J.nr.</w:t>
                          </w:r>
                          <w:bookmarkEnd w:id="11"/>
                          <w:r w:rsidRPr="009170E0">
                            <w:rPr>
                              <w:vanish/>
                            </w:rPr>
                            <w:t xml:space="preserve"> </w:t>
                          </w:r>
                          <w:bookmarkStart w:id="13" w:name="sagsnr"/>
                          <w:bookmarkEnd w:id="13"/>
                          <w:r w:rsidR="0096197F">
                            <w:rPr>
                              <w:vanish/>
                            </w:rPr>
                            <w:t>2020-9400</w:t>
                          </w:r>
                        </w:p>
                        <w:p w:rsidR="009170E0" w:rsidRDefault="009170E0" w:rsidP="005C0904">
                          <w:pPr>
                            <w:pStyle w:val="Kolofontekst"/>
                          </w:pPr>
                          <w:bookmarkStart w:id="14" w:name="FLD_DocumentDate"/>
                          <w:bookmarkEnd w:id="12"/>
                          <w:r>
                            <w:t xml:space="preserve">Den </w:t>
                          </w:r>
                          <w:bookmarkEnd w:id="14"/>
                          <w:r w:rsidR="005C0904">
                            <w:t>20</w:t>
                          </w:r>
                          <w:r w:rsidR="009D4D7F">
                            <w:t>. oktober 20</w:t>
                          </w:r>
                          <w:r w:rsidR="0096197F">
                            <w:t>20</w:t>
                          </w:r>
                        </w:p>
                      </w:tc>
                    </w:tr>
                  </w:tbl>
                  <w:p w:rsidR="009170E0" w:rsidRDefault="009170E0" w:rsidP="009170E0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A51DBA" w:rsidRDefault="00A51DBA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5A4F73"/>
    <w:multiLevelType w:val="hybridMultilevel"/>
    <w:tmpl w:val="D0EC868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8A0930"/>
    <w:multiLevelType w:val="hybridMultilevel"/>
    <w:tmpl w:val="6396D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948A5"/>
    <w:multiLevelType w:val="hybridMultilevel"/>
    <w:tmpl w:val="2E1E9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4" w15:restartNumberingAfterBreak="0">
    <w:nsid w:val="1F815F8B"/>
    <w:multiLevelType w:val="hybridMultilevel"/>
    <w:tmpl w:val="4474702C"/>
    <w:lvl w:ilvl="0" w:tplc="2562AC8E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6" w15:restartNumberingAfterBreak="0">
    <w:nsid w:val="2EBE71BE"/>
    <w:multiLevelType w:val="hybridMultilevel"/>
    <w:tmpl w:val="55B2FBC0"/>
    <w:lvl w:ilvl="0" w:tplc="68CE446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D15B6F"/>
    <w:multiLevelType w:val="hybridMultilevel"/>
    <w:tmpl w:val="771617E4"/>
    <w:lvl w:ilvl="0" w:tplc="0D7C9EBE">
      <w:numFmt w:val="bullet"/>
      <w:lvlText w:val="-"/>
      <w:lvlJc w:val="left"/>
      <w:pPr>
        <w:ind w:left="41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403E4C6A"/>
    <w:multiLevelType w:val="hybridMultilevel"/>
    <w:tmpl w:val="21BC8B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8DE33A5"/>
    <w:multiLevelType w:val="hybridMultilevel"/>
    <w:tmpl w:val="5C0232F4"/>
    <w:lvl w:ilvl="0" w:tplc="DED05D44">
      <w:numFmt w:val="bullet"/>
      <w:lvlText w:val="-"/>
      <w:lvlJc w:val="left"/>
      <w:pPr>
        <w:ind w:left="41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7"/>
  </w:num>
  <w:num w:numId="14">
    <w:abstractNumId w:val="8"/>
  </w:num>
  <w:num w:numId="15">
    <w:abstractNumId w:val="9"/>
  </w:num>
  <w:num w:numId="16">
    <w:abstractNumId w:val="19"/>
  </w:num>
  <w:num w:numId="17">
    <w:abstractNumId w:val="12"/>
  </w:num>
  <w:num w:numId="18">
    <w:abstractNumId w:val="11"/>
  </w:num>
  <w:num w:numId="19">
    <w:abstractNumId w:val="14"/>
  </w:num>
  <w:num w:numId="20">
    <w:abstractNumId w:val="21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E0"/>
    <w:rsid w:val="00002EA0"/>
    <w:rsid w:val="00003636"/>
    <w:rsid w:val="00005FAA"/>
    <w:rsid w:val="00011797"/>
    <w:rsid w:val="0001457C"/>
    <w:rsid w:val="0001528D"/>
    <w:rsid w:val="0001529F"/>
    <w:rsid w:val="000166A0"/>
    <w:rsid w:val="00022E3B"/>
    <w:rsid w:val="00030051"/>
    <w:rsid w:val="00037E7E"/>
    <w:rsid w:val="00052359"/>
    <w:rsid w:val="00060946"/>
    <w:rsid w:val="00060BC5"/>
    <w:rsid w:val="00062738"/>
    <w:rsid w:val="00062A0E"/>
    <w:rsid w:val="000647F2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0F6B52"/>
    <w:rsid w:val="001022E0"/>
    <w:rsid w:val="001062D0"/>
    <w:rsid w:val="00114DE6"/>
    <w:rsid w:val="001210A9"/>
    <w:rsid w:val="00132B89"/>
    <w:rsid w:val="001354CC"/>
    <w:rsid w:val="0014150F"/>
    <w:rsid w:val="0014295B"/>
    <w:rsid w:val="00144670"/>
    <w:rsid w:val="0014616C"/>
    <w:rsid w:val="00147799"/>
    <w:rsid w:val="00150899"/>
    <w:rsid w:val="00152CB8"/>
    <w:rsid w:val="00156908"/>
    <w:rsid w:val="00160721"/>
    <w:rsid w:val="001743E7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855"/>
    <w:rsid w:val="001C7630"/>
    <w:rsid w:val="001D1196"/>
    <w:rsid w:val="001D19D8"/>
    <w:rsid w:val="001E38EF"/>
    <w:rsid w:val="001E7F16"/>
    <w:rsid w:val="001F3A47"/>
    <w:rsid w:val="001F48BF"/>
    <w:rsid w:val="001F763E"/>
    <w:rsid w:val="00200B86"/>
    <w:rsid w:val="0020134B"/>
    <w:rsid w:val="0020402C"/>
    <w:rsid w:val="002044E3"/>
    <w:rsid w:val="00204BF4"/>
    <w:rsid w:val="00211AC9"/>
    <w:rsid w:val="00212497"/>
    <w:rsid w:val="0022105C"/>
    <w:rsid w:val="002239C6"/>
    <w:rsid w:val="00225534"/>
    <w:rsid w:val="00235C1F"/>
    <w:rsid w:val="002366E2"/>
    <w:rsid w:val="002437D6"/>
    <w:rsid w:val="00245891"/>
    <w:rsid w:val="002629A8"/>
    <w:rsid w:val="002639DB"/>
    <w:rsid w:val="00264240"/>
    <w:rsid w:val="002654F9"/>
    <w:rsid w:val="00267F76"/>
    <w:rsid w:val="00270CD8"/>
    <w:rsid w:val="0027546B"/>
    <w:rsid w:val="00283D52"/>
    <w:rsid w:val="00284176"/>
    <w:rsid w:val="00293240"/>
    <w:rsid w:val="002933E6"/>
    <w:rsid w:val="00294177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3001A2"/>
    <w:rsid w:val="00300E1A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572F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D724E"/>
    <w:rsid w:val="003E06B4"/>
    <w:rsid w:val="003E09D1"/>
    <w:rsid w:val="003E1377"/>
    <w:rsid w:val="003E3617"/>
    <w:rsid w:val="003F0D75"/>
    <w:rsid w:val="004032C4"/>
    <w:rsid w:val="0040506D"/>
    <w:rsid w:val="00406784"/>
    <w:rsid w:val="00406AF1"/>
    <w:rsid w:val="00407C2F"/>
    <w:rsid w:val="0041385B"/>
    <w:rsid w:val="00415BC0"/>
    <w:rsid w:val="0041735B"/>
    <w:rsid w:val="004208E6"/>
    <w:rsid w:val="004232F9"/>
    <w:rsid w:val="00432E42"/>
    <w:rsid w:val="00433A1E"/>
    <w:rsid w:val="00433F58"/>
    <w:rsid w:val="00436027"/>
    <w:rsid w:val="00436110"/>
    <w:rsid w:val="00437285"/>
    <w:rsid w:val="00440668"/>
    <w:rsid w:val="004421D7"/>
    <w:rsid w:val="00447B83"/>
    <w:rsid w:val="00450475"/>
    <w:rsid w:val="00457882"/>
    <w:rsid w:val="00460B5A"/>
    <w:rsid w:val="00464435"/>
    <w:rsid w:val="0046600E"/>
    <w:rsid w:val="00466A65"/>
    <w:rsid w:val="00467E79"/>
    <w:rsid w:val="00476722"/>
    <w:rsid w:val="00481EEB"/>
    <w:rsid w:val="004835F2"/>
    <w:rsid w:val="0048414C"/>
    <w:rsid w:val="0048667B"/>
    <w:rsid w:val="004958F1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3D8E"/>
    <w:rsid w:val="0051781E"/>
    <w:rsid w:val="00520971"/>
    <w:rsid w:val="0052620F"/>
    <w:rsid w:val="005267CB"/>
    <w:rsid w:val="00531869"/>
    <w:rsid w:val="00532361"/>
    <w:rsid w:val="00535B7D"/>
    <w:rsid w:val="00541878"/>
    <w:rsid w:val="00554FAA"/>
    <w:rsid w:val="005630B4"/>
    <w:rsid w:val="00563773"/>
    <w:rsid w:val="005650F2"/>
    <w:rsid w:val="005672CB"/>
    <w:rsid w:val="00576B90"/>
    <w:rsid w:val="0058155D"/>
    <w:rsid w:val="0058161B"/>
    <w:rsid w:val="00590A5B"/>
    <w:rsid w:val="00590C13"/>
    <w:rsid w:val="0059175F"/>
    <w:rsid w:val="00593201"/>
    <w:rsid w:val="0059560E"/>
    <w:rsid w:val="00596C25"/>
    <w:rsid w:val="005A01E1"/>
    <w:rsid w:val="005A0290"/>
    <w:rsid w:val="005A1F29"/>
    <w:rsid w:val="005A29CB"/>
    <w:rsid w:val="005A50B9"/>
    <w:rsid w:val="005C0904"/>
    <w:rsid w:val="005C51A1"/>
    <w:rsid w:val="005C7B13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3C51"/>
    <w:rsid w:val="006161E8"/>
    <w:rsid w:val="006217FF"/>
    <w:rsid w:val="00623A75"/>
    <w:rsid w:val="0063273A"/>
    <w:rsid w:val="00632DB3"/>
    <w:rsid w:val="00632EB9"/>
    <w:rsid w:val="00641AE1"/>
    <w:rsid w:val="00647182"/>
    <w:rsid w:val="00655780"/>
    <w:rsid w:val="00656763"/>
    <w:rsid w:val="00656C96"/>
    <w:rsid w:val="00664628"/>
    <w:rsid w:val="006665A1"/>
    <w:rsid w:val="006706E8"/>
    <w:rsid w:val="00673686"/>
    <w:rsid w:val="0067771A"/>
    <w:rsid w:val="00684B85"/>
    <w:rsid w:val="0068783F"/>
    <w:rsid w:val="006901DA"/>
    <w:rsid w:val="00696E85"/>
    <w:rsid w:val="006A18C5"/>
    <w:rsid w:val="006B2323"/>
    <w:rsid w:val="006D09A7"/>
    <w:rsid w:val="006D2A48"/>
    <w:rsid w:val="006D6CB1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830BE"/>
    <w:rsid w:val="00786BCF"/>
    <w:rsid w:val="00787189"/>
    <w:rsid w:val="007940C9"/>
    <w:rsid w:val="00796312"/>
    <w:rsid w:val="007B1B23"/>
    <w:rsid w:val="007B21FA"/>
    <w:rsid w:val="007B2ADE"/>
    <w:rsid w:val="007B3940"/>
    <w:rsid w:val="007D492E"/>
    <w:rsid w:val="007E08BA"/>
    <w:rsid w:val="007E0C49"/>
    <w:rsid w:val="007E3A3B"/>
    <w:rsid w:val="007E51F2"/>
    <w:rsid w:val="007E5E97"/>
    <w:rsid w:val="007E7688"/>
    <w:rsid w:val="007E7778"/>
    <w:rsid w:val="007F4A4B"/>
    <w:rsid w:val="007F770C"/>
    <w:rsid w:val="00802CB9"/>
    <w:rsid w:val="008036BF"/>
    <w:rsid w:val="00807BA4"/>
    <w:rsid w:val="00821133"/>
    <w:rsid w:val="0082681E"/>
    <w:rsid w:val="008324B0"/>
    <w:rsid w:val="00837487"/>
    <w:rsid w:val="008407EC"/>
    <w:rsid w:val="0084333E"/>
    <w:rsid w:val="0084379B"/>
    <w:rsid w:val="00844CA9"/>
    <w:rsid w:val="0084586F"/>
    <w:rsid w:val="00847491"/>
    <w:rsid w:val="00850194"/>
    <w:rsid w:val="008559E9"/>
    <w:rsid w:val="00860844"/>
    <w:rsid w:val="00860D2C"/>
    <w:rsid w:val="00861CBA"/>
    <w:rsid w:val="00863B4C"/>
    <w:rsid w:val="00872AC0"/>
    <w:rsid w:val="00875531"/>
    <w:rsid w:val="00882741"/>
    <w:rsid w:val="00892B13"/>
    <w:rsid w:val="008A1C6B"/>
    <w:rsid w:val="008A3312"/>
    <w:rsid w:val="008A4864"/>
    <w:rsid w:val="008B1B83"/>
    <w:rsid w:val="008B3ADA"/>
    <w:rsid w:val="008C541F"/>
    <w:rsid w:val="008C5F4A"/>
    <w:rsid w:val="008E3990"/>
    <w:rsid w:val="008F272E"/>
    <w:rsid w:val="008F6B2B"/>
    <w:rsid w:val="00905C37"/>
    <w:rsid w:val="00906916"/>
    <w:rsid w:val="009170E0"/>
    <w:rsid w:val="0092514B"/>
    <w:rsid w:val="009264AA"/>
    <w:rsid w:val="00940B51"/>
    <w:rsid w:val="00944EE8"/>
    <w:rsid w:val="009461F0"/>
    <w:rsid w:val="009601F5"/>
    <w:rsid w:val="0096197F"/>
    <w:rsid w:val="00963E43"/>
    <w:rsid w:val="00970F21"/>
    <w:rsid w:val="00975F3B"/>
    <w:rsid w:val="0098382A"/>
    <w:rsid w:val="009943CD"/>
    <w:rsid w:val="00994E91"/>
    <w:rsid w:val="009C37F8"/>
    <w:rsid w:val="009C6BB2"/>
    <w:rsid w:val="009D4D7F"/>
    <w:rsid w:val="009E055A"/>
    <w:rsid w:val="009E27B6"/>
    <w:rsid w:val="009E7920"/>
    <w:rsid w:val="009F368F"/>
    <w:rsid w:val="009F4367"/>
    <w:rsid w:val="009F7033"/>
    <w:rsid w:val="009F7707"/>
    <w:rsid w:val="00A03CE6"/>
    <w:rsid w:val="00A03E48"/>
    <w:rsid w:val="00A11F5A"/>
    <w:rsid w:val="00A158CB"/>
    <w:rsid w:val="00A24377"/>
    <w:rsid w:val="00A34B40"/>
    <w:rsid w:val="00A36292"/>
    <w:rsid w:val="00A36D64"/>
    <w:rsid w:val="00A44A6B"/>
    <w:rsid w:val="00A51DBA"/>
    <w:rsid w:val="00A5408B"/>
    <w:rsid w:val="00A556CE"/>
    <w:rsid w:val="00A560C2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58B3"/>
    <w:rsid w:val="00B43CDA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7059"/>
    <w:rsid w:val="00BB40C8"/>
    <w:rsid w:val="00BB6985"/>
    <w:rsid w:val="00BC6602"/>
    <w:rsid w:val="00BD787B"/>
    <w:rsid w:val="00BE0CE4"/>
    <w:rsid w:val="00BE4EAA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77E4D"/>
    <w:rsid w:val="00C8406C"/>
    <w:rsid w:val="00C86646"/>
    <w:rsid w:val="00C87AAA"/>
    <w:rsid w:val="00CA543F"/>
    <w:rsid w:val="00CA6429"/>
    <w:rsid w:val="00CA6ADF"/>
    <w:rsid w:val="00CB5805"/>
    <w:rsid w:val="00CB5C14"/>
    <w:rsid w:val="00CC12A8"/>
    <w:rsid w:val="00CC6892"/>
    <w:rsid w:val="00CD31FE"/>
    <w:rsid w:val="00CD3B08"/>
    <w:rsid w:val="00CD4F1D"/>
    <w:rsid w:val="00CE1EC6"/>
    <w:rsid w:val="00CE5201"/>
    <w:rsid w:val="00CF1627"/>
    <w:rsid w:val="00CF760D"/>
    <w:rsid w:val="00D008ED"/>
    <w:rsid w:val="00D01960"/>
    <w:rsid w:val="00D01984"/>
    <w:rsid w:val="00D01EDA"/>
    <w:rsid w:val="00D16472"/>
    <w:rsid w:val="00D321C9"/>
    <w:rsid w:val="00D37FC2"/>
    <w:rsid w:val="00D43DB0"/>
    <w:rsid w:val="00D51A39"/>
    <w:rsid w:val="00D570C5"/>
    <w:rsid w:val="00D818BE"/>
    <w:rsid w:val="00D922CF"/>
    <w:rsid w:val="00D951B4"/>
    <w:rsid w:val="00DA32B3"/>
    <w:rsid w:val="00DA6734"/>
    <w:rsid w:val="00DB56B3"/>
    <w:rsid w:val="00DB619E"/>
    <w:rsid w:val="00DC3CF1"/>
    <w:rsid w:val="00DD3B48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505AD"/>
    <w:rsid w:val="00E62BEE"/>
    <w:rsid w:val="00E63075"/>
    <w:rsid w:val="00E644BF"/>
    <w:rsid w:val="00E7211C"/>
    <w:rsid w:val="00E73A40"/>
    <w:rsid w:val="00E806E3"/>
    <w:rsid w:val="00E80A97"/>
    <w:rsid w:val="00E81697"/>
    <w:rsid w:val="00E928D4"/>
    <w:rsid w:val="00E93A61"/>
    <w:rsid w:val="00E94852"/>
    <w:rsid w:val="00EA4D25"/>
    <w:rsid w:val="00EA576F"/>
    <w:rsid w:val="00EA598C"/>
    <w:rsid w:val="00EB0255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2061A"/>
    <w:rsid w:val="00F27724"/>
    <w:rsid w:val="00F30057"/>
    <w:rsid w:val="00F34750"/>
    <w:rsid w:val="00F46114"/>
    <w:rsid w:val="00F47B3A"/>
    <w:rsid w:val="00F602C8"/>
    <w:rsid w:val="00F62595"/>
    <w:rsid w:val="00F652C5"/>
    <w:rsid w:val="00F7168A"/>
    <w:rsid w:val="00F71C13"/>
    <w:rsid w:val="00F76C89"/>
    <w:rsid w:val="00F77228"/>
    <w:rsid w:val="00F7751A"/>
    <w:rsid w:val="00F90567"/>
    <w:rsid w:val="00F91352"/>
    <w:rsid w:val="00F922ED"/>
    <w:rsid w:val="00F95736"/>
    <w:rsid w:val="00FB7ADE"/>
    <w:rsid w:val="00FC164F"/>
    <w:rsid w:val="00FC76EE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CD33A9"/>
  <w15:docId w15:val="{7A2DDF15-30D7-4220-B834-49360E2A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3611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3611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aliases w:val="stylish"/>
    <w:basedOn w:val="Standardskrifttypeiafsnit"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aliases w:val=" Tegn,Tegn"/>
    <w:basedOn w:val="Normal"/>
    <w:link w:val="FodnotetekstTegn"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43611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3611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3127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3127" w:themeColor="accent1" w:shadow="1"/>
        <w:left w:val="single" w:sz="2" w:space="10" w:color="003127" w:themeColor="accent1" w:shadow="1"/>
        <w:bottom w:val="single" w:sz="2" w:space="10" w:color="003127" w:themeColor="accent1" w:shadow="1"/>
        <w:right w:val="single" w:sz="2" w:space="10" w:color="00312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3127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436110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1" w:themeFillTint="33"/>
    </w:tcPr>
    <w:tblStylePr w:type="firstRow">
      <w:rPr>
        <w:b/>
        <w:bCs/>
      </w:rPr>
      <w:tblPr/>
      <w:tcPr>
        <w:shd w:val="clear" w:color="auto" w:fill="46FF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1" w:themeFillShade="BF"/>
      </w:tcPr>
    </w:tblStylePr>
    <w:tblStylePr w:type="band1Vert">
      <w:tblPr/>
      <w:tcPr>
        <w:shd w:val="clear" w:color="auto" w:fill="19FFCF" w:themeFill="accent1" w:themeFillTint="7F"/>
      </w:tcPr>
    </w:tblStylePr>
    <w:tblStylePr w:type="band1Horz">
      <w:tblPr/>
      <w:tcPr>
        <w:shd w:val="clear" w:color="auto" w:fill="19FFC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2" w:themeFillTint="33"/>
    </w:tcPr>
    <w:tblStylePr w:type="firstRow">
      <w:rPr>
        <w:b/>
        <w:bCs/>
      </w:rPr>
      <w:tblPr/>
      <w:tcPr>
        <w:shd w:val="clear" w:color="auto" w:fill="69FF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2" w:themeFillShade="BF"/>
      </w:tcPr>
    </w:tblStylePr>
    <w:tblStylePr w:type="band1Vert">
      <w:tblPr/>
      <w:tcPr>
        <w:shd w:val="clear" w:color="auto" w:fill="44FFAB" w:themeFill="accent2" w:themeFillTint="7F"/>
      </w:tcPr>
    </w:tblStylePr>
    <w:tblStylePr w:type="band1Horz">
      <w:tblPr/>
      <w:tcPr>
        <w:shd w:val="clear" w:color="auto" w:fill="44FFAB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3B" w:themeFill="accent2" w:themeFillShade="CC"/>
      </w:tcPr>
    </w:tblStylePr>
    <w:tblStylePr w:type="lastRow">
      <w:rPr>
        <w:b/>
        <w:bCs/>
        <w:color w:val="006C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3B" w:themeFill="accent2" w:themeFillShade="CC"/>
      </w:tcPr>
    </w:tblStylePr>
    <w:tblStylePr w:type="lastRow">
      <w:rPr>
        <w:b/>
        <w:bCs/>
        <w:color w:val="006C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1" w:themeFillTint="3F"/>
      </w:tcPr>
    </w:tblStylePr>
    <w:tblStylePr w:type="band1Horz">
      <w:tblPr/>
      <w:tcPr>
        <w:shd w:val="clear" w:color="auto" w:fill="A2FFEB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C3B" w:themeFill="accent2" w:themeFillShade="CC"/>
      </w:tcPr>
    </w:tblStylePr>
    <w:tblStylePr w:type="lastRow">
      <w:rPr>
        <w:b/>
        <w:bCs/>
        <w:color w:val="006C3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2" w:themeFillTint="3F"/>
      </w:tcPr>
    </w:tblStylePr>
    <w:tblStylePr w:type="band1Horz">
      <w:tblPr/>
      <w:tcPr>
        <w:shd w:val="clear" w:color="auto" w:fill="B4FFDD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74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7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74B" w:themeColor="accent2"/>
        <w:left w:val="single" w:sz="4" w:space="0" w:color="003127" w:themeColor="accent1"/>
        <w:bottom w:val="single" w:sz="4" w:space="0" w:color="003127" w:themeColor="accent1"/>
        <w:right w:val="single" w:sz="4" w:space="0" w:color="00312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7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1" w:themeShade="99"/>
          <w:insideV w:val="nil"/>
        </w:tcBorders>
        <w:shd w:val="clear" w:color="auto" w:fill="001D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1" w:themeFillShade="99"/>
      </w:tcPr>
    </w:tblStylePr>
    <w:tblStylePr w:type="band1Vert">
      <w:tblPr/>
      <w:tcPr>
        <w:shd w:val="clear" w:color="auto" w:fill="46FFD8" w:themeFill="accent1" w:themeFillTint="66"/>
      </w:tcPr>
    </w:tblStylePr>
    <w:tblStylePr w:type="band1Horz">
      <w:tblPr/>
      <w:tcPr>
        <w:shd w:val="clear" w:color="auto" w:fill="19FFC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74B" w:themeColor="accent2"/>
        <w:left w:val="single" w:sz="4" w:space="0" w:color="00874B" w:themeColor="accent2"/>
        <w:bottom w:val="single" w:sz="4" w:space="0" w:color="00874B" w:themeColor="accent2"/>
        <w:right w:val="single" w:sz="4" w:space="0" w:color="00874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7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2" w:themeShade="99"/>
          <w:insideV w:val="nil"/>
        </w:tcBorders>
        <w:shd w:val="clear" w:color="auto" w:fill="00512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2" w:themeFillShade="99"/>
      </w:tcPr>
    </w:tblStylePr>
    <w:tblStylePr w:type="band1Vert">
      <w:tblPr/>
      <w:tcPr>
        <w:shd w:val="clear" w:color="auto" w:fill="69FFBB" w:themeFill="accent2" w:themeFillTint="66"/>
      </w:tcPr>
    </w:tblStylePr>
    <w:tblStylePr w:type="band1Horz">
      <w:tblPr/>
      <w:tcPr>
        <w:shd w:val="clear" w:color="auto" w:fill="44FFA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3127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3127" w:themeColor="accent1"/>
      </w:pBdr>
      <w:spacing w:before="200" w:after="280"/>
      <w:ind w:left="936" w:right="936"/>
    </w:pPr>
    <w:rPr>
      <w:b/>
      <w:bCs/>
      <w:i/>
      <w:iCs/>
      <w:color w:val="00312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3127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1"/>
        <w:left w:val="single" w:sz="8" w:space="0" w:color="003127" w:themeColor="accent1"/>
        <w:bottom w:val="single" w:sz="8" w:space="0" w:color="003127" w:themeColor="accent1"/>
        <w:right w:val="single" w:sz="8" w:space="0" w:color="003127" w:themeColor="accent1"/>
        <w:insideH w:val="single" w:sz="8" w:space="0" w:color="003127" w:themeColor="accent1"/>
        <w:insideV w:val="single" w:sz="8" w:space="0" w:color="0031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18" w:space="0" w:color="003127" w:themeColor="accent1"/>
          <w:right w:val="single" w:sz="8" w:space="0" w:color="003127" w:themeColor="accent1"/>
          <w:insideH w:val="nil"/>
          <w:insideV w:val="single" w:sz="8" w:space="0" w:color="0031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  <w:insideH w:val="nil"/>
          <w:insideV w:val="single" w:sz="8" w:space="0" w:color="0031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</w:tcPr>
    </w:tblStylePr>
    <w:tblStylePr w:type="band1Vert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  <w:shd w:val="clear" w:color="auto" w:fill="8DFFE7" w:themeFill="accent1" w:themeFillTint="3F"/>
      </w:tcPr>
    </w:tblStylePr>
    <w:tblStylePr w:type="band1Horz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  <w:insideV w:val="single" w:sz="8" w:space="0" w:color="003127" w:themeColor="accent1"/>
        </w:tcBorders>
        <w:shd w:val="clear" w:color="auto" w:fill="8DFFE7" w:themeFill="accent1" w:themeFillTint="3F"/>
      </w:tcPr>
    </w:tblStylePr>
    <w:tblStylePr w:type="band2Horz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  <w:insideV w:val="single" w:sz="8" w:space="0" w:color="003127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2"/>
        <w:left w:val="single" w:sz="8" w:space="0" w:color="00874B" w:themeColor="accent2"/>
        <w:bottom w:val="single" w:sz="8" w:space="0" w:color="00874B" w:themeColor="accent2"/>
        <w:right w:val="single" w:sz="8" w:space="0" w:color="00874B" w:themeColor="accent2"/>
        <w:insideH w:val="single" w:sz="8" w:space="0" w:color="00874B" w:themeColor="accent2"/>
        <w:insideV w:val="single" w:sz="8" w:space="0" w:color="00874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2"/>
          <w:left w:val="single" w:sz="8" w:space="0" w:color="00874B" w:themeColor="accent2"/>
          <w:bottom w:val="single" w:sz="18" w:space="0" w:color="00874B" w:themeColor="accent2"/>
          <w:right w:val="single" w:sz="8" w:space="0" w:color="00874B" w:themeColor="accent2"/>
          <w:insideH w:val="nil"/>
          <w:insideV w:val="single" w:sz="8" w:space="0" w:color="00874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2"/>
          <w:left w:val="single" w:sz="8" w:space="0" w:color="00874B" w:themeColor="accent2"/>
          <w:bottom w:val="single" w:sz="8" w:space="0" w:color="00874B" w:themeColor="accent2"/>
          <w:right w:val="single" w:sz="8" w:space="0" w:color="00874B" w:themeColor="accent2"/>
          <w:insideH w:val="nil"/>
          <w:insideV w:val="single" w:sz="8" w:space="0" w:color="00874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2"/>
          <w:left w:val="single" w:sz="8" w:space="0" w:color="00874B" w:themeColor="accent2"/>
          <w:bottom w:val="single" w:sz="8" w:space="0" w:color="00874B" w:themeColor="accent2"/>
          <w:right w:val="single" w:sz="8" w:space="0" w:color="00874B" w:themeColor="accent2"/>
        </w:tcBorders>
      </w:tcPr>
    </w:tblStylePr>
    <w:tblStylePr w:type="band1Vert">
      <w:tblPr/>
      <w:tcPr>
        <w:tcBorders>
          <w:top w:val="single" w:sz="8" w:space="0" w:color="00874B" w:themeColor="accent2"/>
          <w:left w:val="single" w:sz="8" w:space="0" w:color="00874B" w:themeColor="accent2"/>
          <w:bottom w:val="single" w:sz="8" w:space="0" w:color="00874B" w:themeColor="accent2"/>
          <w:right w:val="single" w:sz="8" w:space="0" w:color="00874B" w:themeColor="accent2"/>
        </w:tcBorders>
        <w:shd w:val="clear" w:color="auto" w:fill="A2FFD5" w:themeFill="accent2" w:themeFillTint="3F"/>
      </w:tcPr>
    </w:tblStylePr>
    <w:tblStylePr w:type="band1Horz">
      <w:tblPr/>
      <w:tcPr>
        <w:tcBorders>
          <w:top w:val="single" w:sz="8" w:space="0" w:color="00874B" w:themeColor="accent2"/>
          <w:left w:val="single" w:sz="8" w:space="0" w:color="00874B" w:themeColor="accent2"/>
          <w:bottom w:val="single" w:sz="8" w:space="0" w:color="00874B" w:themeColor="accent2"/>
          <w:right w:val="single" w:sz="8" w:space="0" w:color="00874B" w:themeColor="accent2"/>
          <w:insideV w:val="single" w:sz="8" w:space="0" w:color="00874B" w:themeColor="accent2"/>
        </w:tcBorders>
        <w:shd w:val="clear" w:color="auto" w:fill="A2FFD5" w:themeFill="accent2" w:themeFillTint="3F"/>
      </w:tcPr>
    </w:tblStylePr>
    <w:tblStylePr w:type="band2Horz">
      <w:tblPr/>
      <w:tcPr>
        <w:tcBorders>
          <w:top w:val="single" w:sz="8" w:space="0" w:color="00874B" w:themeColor="accent2"/>
          <w:left w:val="single" w:sz="8" w:space="0" w:color="00874B" w:themeColor="accent2"/>
          <w:bottom w:val="single" w:sz="8" w:space="0" w:color="00874B" w:themeColor="accent2"/>
          <w:right w:val="single" w:sz="8" w:space="0" w:color="00874B" w:themeColor="accent2"/>
          <w:insideV w:val="single" w:sz="8" w:space="0" w:color="00874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1"/>
        <w:left w:val="single" w:sz="8" w:space="0" w:color="003127" w:themeColor="accent1"/>
        <w:bottom w:val="single" w:sz="8" w:space="0" w:color="003127" w:themeColor="accent1"/>
        <w:right w:val="single" w:sz="8" w:space="0" w:color="0031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</w:tcPr>
    </w:tblStylePr>
    <w:tblStylePr w:type="band1Horz">
      <w:tblPr/>
      <w:tcPr>
        <w:tcBorders>
          <w:top w:val="single" w:sz="8" w:space="0" w:color="003127" w:themeColor="accent1"/>
          <w:left w:val="single" w:sz="8" w:space="0" w:color="003127" w:themeColor="accent1"/>
          <w:bottom w:val="single" w:sz="8" w:space="0" w:color="003127" w:themeColor="accent1"/>
          <w:right w:val="single" w:sz="8" w:space="0" w:color="003127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2"/>
        <w:left w:val="single" w:sz="8" w:space="0" w:color="00874B" w:themeColor="accent2"/>
        <w:bottom w:val="single" w:sz="8" w:space="0" w:color="00874B" w:themeColor="accent2"/>
        <w:right w:val="single" w:sz="8" w:space="0" w:color="00874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2"/>
          <w:left w:val="single" w:sz="8" w:space="0" w:color="00874B" w:themeColor="accent2"/>
          <w:bottom w:val="single" w:sz="8" w:space="0" w:color="00874B" w:themeColor="accent2"/>
          <w:right w:val="single" w:sz="8" w:space="0" w:color="0087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2"/>
          <w:left w:val="single" w:sz="8" w:space="0" w:color="00874B" w:themeColor="accent2"/>
          <w:bottom w:val="single" w:sz="8" w:space="0" w:color="00874B" w:themeColor="accent2"/>
          <w:right w:val="single" w:sz="8" w:space="0" w:color="00874B" w:themeColor="accent2"/>
        </w:tcBorders>
      </w:tcPr>
    </w:tblStylePr>
    <w:tblStylePr w:type="band1Horz">
      <w:tblPr/>
      <w:tcPr>
        <w:tcBorders>
          <w:top w:val="single" w:sz="8" w:space="0" w:color="00874B" w:themeColor="accent2"/>
          <w:left w:val="single" w:sz="8" w:space="0" w:color="00874B" w:themeColor="accent2"/>
          <w:bottom w:val="single" w:sz="8" w:space="0" w:color="00874B" w:themeColor="accent2"/>
          <w:right w:val="single" w:sz="8" w:space="0" w:color="00874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241D" w:themeColor="accent1" w:themeShade="BF"/>
    </w:rPr>
    <w:tblPr>
      <w:tblStyleRowBandSize w:val="1"/>
      <w:tblStyleColBandSize w:val="1"/>
      <w:tblBorders>
        <w:top w:val="single" w:sz="8" w:space="0" w:color="003127" w:themeColor="accent1"/>
        <w:bottom w:val="single" w:sz="8" w:space="0" w:color="0031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1"/>
          <w:left w:val="nil"/>
          <w:bottom w:val="single" w:sz="8" w:space="0" w:color="0031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1"/>
          <w:left w:val="nil"/>
          <w:bottom w:val="single" w:sz="8" w:space="0" w:color="0031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6537" w:themeColor="accent2" w:themeShade="BF"/>
    </w:rPr>
    <w:tblPr>
      <w:tblStyleRowBandSize w:val="1"/>
      <w:tblStyleColBandSize w:val="1"/>
      <w:tblBorders>
        <w:top w:val="single" w:sz="8" w:space="0" w:color="00874B" w:themeColor="accent2"/>
        <w:bottom w:val="single" w:sz="8" w:space="0" w:color="00874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2"/>
          <w:left w:val="nil"/>
          <w:bottom w:val="single" w:sz="8" w:space="0" w:color="00874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2"/>
          <w:left w:val="nil"/>
          <w:bottom w:val="single" w:sz="8" w:space="0" w:color="00874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1" w:themeTint="BF"/>
        <w:left w:val="single" w:sz="8" w:space="0" w:color="00A482" w:themeColor="accent1" w:themeTint="BF"/>
        <w:bottom w:val="single" w:sz="8" w:space="0" w:color="00A482" w:themeColor="accent1" w:themeTint="BF"/>
        <w:right w:val="single" w:sz="8" w:space="0" w:color="00A482" w:themeColor="accent1" w:themeTint="BF"/>
        <w:insideH w:val="single" w:sz="8" w:space="0" w:color="00A482" w:themeColor="accent1" w:themeTint="BF"/>
        <w:insideV w:val="single" w:sz="8" w:space="0" w:color="00A482" w:themeColor="accent1" w:themeTint="BF"/>
      </w:tblBorders>
    </w:tblPr>
    <w:tcPr>
      <w:shd w:val="clear" w:color="auto" w:fill="8DFFE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1" w:themeFillTint="7F"/>
      </w:tcPr>
    </w:tblStylePr>
    <w:tblStylePr w:type="band1Horz">
      <w:tblPr/>
      <w:tcPr>
        <w:shd w:val="clear" w:color="auto" w:fill="19FFC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2" w:themeTint="BF"/>
        <w:left w:val="single" w:sz="8" w:space="0" w:color="00E57E" w:themeColor="accent2" w:themeTint="BF"/>
        <w:bottom w:val="single" w:sz="8" w:space="0" w:color="00E57E" w:themeColor="accent2" w:themeTint="BF"/>
        <w:right w:val="single" w:sz="8" w:space="0" w:color="00E57E" w:themeColor="accent2" w:themeTint="BF"/>
        <w:insideH w:val="single" w:sz="8" w:space="0" w:color="00E57E" w:themeColor="accent2" w:themeTint="BF"/>
        <w:insideV w:val="single" w:sz="8" w:space="0" w:color="00E57E" w:themeColor="accent2" w:themeTint="BF"/>
      </w:tblBorders>
    </w:tblPr>
    <w:tcPr>
      <w:shd w:val="clear" w:color="auto" w:fill="A2FF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2" w:themeFillTint="7F"/>
      </w:tcPr>
    </w:tblStylePr>
    <w:tblStylePr w:type="band1Horz">
      <w:tblPr/>
      <w:tcPr>
        <w:shd w:val="clear" w:color="auto" w:fill="44FFAB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1"/>
        <w:left w:val="single" w:sz="8" w:space="0" w:color="003127" w:themeColor="accent1"/>
        <w:bottom w:val="single" w:sz="8" w:space="0" w:color="003127" w:themeColor="accent1"/>
        <w:right w:val="single" w:sz="8" w:space="0" w:color="003127" w:themeColor="accent1"/>
        <w:insideH w:val="single" w:sz="8" w:space="0" w:color="003127" w:themeColor="accent1"/>
        <w:insideV w:val="single" w:sz="8" w:space="0" w:color="003127" w:themeColor="accent1"/>
      </w:tblBorders>
    </w:tblPr>
    <w:tcPr>
      <w:shd w:val="clear" w:color="auto" w:fill="8DFFE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1" w:themeFillTint="33"/>
      </w:tcPr>
    </w:tblStylePr>
    <w:tblStylePr w:type="band1Vert">
      <w:tblPr/>
      <w:tcPr>
        <w:shd w:val="clear" w:color="auto" w:fill="19FFCF" w:themeFill="accent1" w:themeFillTint="7F"/>
      </w:tcPr>
    </w:tblStylePr>
    <w:tblStylePr w:type="band1Horz">
      <w:tblPr/>
      <w:tcPr>
        <w:tcBorders>
          <w:insideH w:val="single" w:sz="6" w:space="0" w:color="003127" w:themeColor="accent1"/>
          <w:insideV w:val="single" w:sz="6" w:space="0" w:color="003127" w:themeColor="accent1"/>
        </w:tcBorders>
        <w:shd w:val="clear" w:color="auto" w:fill="19FFC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2"/>
        <w:left w:val="single" w:sz="8" w:space="0" w:color="00874B" w:themeColor="accent2"/>
        <w:bottom w:val="single" w:sz="8" w:space="0" w:color="00874B" w:themeColor="accent2"/>
        <w:right w:val="single" w:sz="8" w:space="0" w:color="00874B" w:themeColor="accent2"/>
        <w:insideH w:val="single" w:sz="8" w:space="0" w:color="00874B" w:themeColor="accent2"/>
        <w:insideV w:val="single" w:sz="8" w:space="0" w:color="00874B" w:themeColor="accent2"/>
      </w:tblBorders>
    </w:tblPr>
    <w:tcPr>
      <w:shd w:val="clear" w:color="auto" w:fill="A2FF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2" w:themeFillTint="33"/>
      </w:tcPr>
    </w:tblStylePr>
    <w:tblStylePr w:type="band1Vert">
      <w:tblPr/>
      <w:tcPr>
        <w:shd w:val="clear" w:color="auto" w:fill="44FFAB" w:themeFill="accent2" w:themeFillTint="7F"/>
      </w:tcPr>
    </w:tblStylePr>
    <w:tblStylePr w:type="band1Horz">
      <w:tblPr/>
      <w:tcPr>
        <w:tcBorders>
          <w:insideH w:val="single" w:sz="6" w:space="0" w:color="00874B" w:themeColor="accent2"/>
          <w:insideV w:val="single" w:sz="6" w:space="0" w:color="00874B" w:themeColor="accent2"/>
        </w:tcBorders>
        <w:shd w:val="clear" w:color="auto" w:fill="44FFA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1"/>
        <w:bottom w:val="single" w:sz="8" w:space="0" w:color="0031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1"/>
          <w:bottom w:val="single" w:sz="8" w:space="0" w:color="0031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1"/>
          <w:bottom w:val="single" w:sz="8" w:space="0" w:color="003127" w:themeColor="accent1"/>
        </w:tcBorders>
      </w:tcPr>
    </w:tblStylePr>
    <w:tblStylePr w:type="band1Vert">
      <w:tblPr/>
      <w:tcPr>
        <w:shd w:val="clear" w:color="auto" w:fill="8DFFE7" w:themeFill="accent1" w:themeFillTint="3F"/>
      </w:tcPr>
    </w:tblStylePr>
    <w:tblStylePr w:type="band1Horz">
      <w:tblPr/>
      <w:tcPr>
        <w:shd w:val="clear" w:color="auto" w:fill="8DFFE7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2"/>
        <w:bottom w:val="single" w:sz="8" w:space="0" w:color="00874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2"/>
          <w:bottom w:val="single" w:sz="8" w:space="0" w:color="0087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2"/>
          <w:bottom w:val="single" w:sz="8" w:space="0" w:color="00874B" w:themeColor="accent2"/>
        </w:tcBorders>
      </w:tcPr>
    </w:tblStylePr>
    <w:tblStylePr w:type="band1Vert">
      <w:tblPr/>
      <w:tcPr>
        <w:shd w:val="clear" w:color="auto" w:fill="A2FFD5" w:themeFill="accent2" w:themeFillTint="3F"/>
      </w:tcPr>
    </w:tblStylePr>
    <w:tblStylePr w:type="band1Horz">
      <w:tblPr/>
      <w:tcPr>
        <w:shd w:val="clear" w:color="auto" w:fill="A2FFD5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1"/>
        <w:left w:val="single" w:sz="8" w:space="0" w:color="003127" w:themeColor="accent1"/>
        <w:bottom w:val="single" w:sz="8" w:space="0" w:color="003127" w:themeColor="accent1"/>
        <w:right w:val="single" w:sz="8" w:space="0" w:color="0031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2"/>
        <w:left w:val="single" w:sz="8" w:space="0" w:color="00874B" w:themeColor="accent2"/>
        <w:bottom w:val="single" w:sz="8" w:space="0" w:color="00874B" w:themeColor="accent2"/>
        <w:right w:val="single" w:sz="8" w:space="0" w:color="00874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1" w:themeTint="BF"/>
        <w:left w:val="single" w:sz="8" w:space="0" w:color="00A482" w:themeColor="accent1" w:themeTint="BF"/>
        <w:bottom w:val="single" w:sz="8" w:space="0" w:color="00A482" w:themeColor="accent1" w:themeTint="BF"/>
        <w:right w:val="single" w:sz="8" w:space="0" w:color="00A482" w:themeColor="accent1" w:themeTint="BF"/>
        <w:insideH w:val="single" w:sz="8" w:space="0" w:color="00A4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1" w:themeTint="BF"/>
          <w:left w:val="single" w:sz="8" w:space="0" w:color="00A482" w:themeColor="accent1" w:themeTint="BF"/>
          <w:bottom w:val="single" w:sz="8" w:space="0" w:color="00A482" w:themeColor="accent1" w:themeTint="BF"/>
          <w:right w:val="single" w:sz="8" w:space="0" w:color="00A482" w:themeColor="accent1" w:themeTint="BF"/>
          <w:insideH w:val="nil"/>
          <w:insideV w:val="nil"/>
        </w:tcBorders>
        <w:shd w:val="clear" w:color="auto" w:fill="0031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1" w:themeTint="BF"/>
          <w:left w:val="single" w:sz="8" w:space="0" w:color="00A482" w:themeColor="accent1" w:themeTint="BF"/>
          <w:bottom w:val="single" w:sz="8" w:space="0" w:color="00A482" w:themeColor="accent1" w:themeTint="BF"/>
          <w:right w:val="single" w:sz="8" w:space="0" w:color="00A4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2" w:themeTint="BF"/>
        <w:left w:val="single" w:sz="8" w:space="0" w:color="00E57E" w:themeColor="accent2" w:themeTint="BF"/>
        <w:bottom w:val="single" w:sz="8" w:space="0" w:color="00E57E" w:themeColor="accent2" w:themeTint="BF"/>
        <w:right w:val="single" w:sz="8" w:space="0" w:color="00E57E" w:themeColor="accent2" w:themeTint="BF"/>
        <w:insideH w:val="single" w:sz="8" w:space="0" w:color="00E57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2" w:themeTint="BF"/>
          <w:left w:val="single" w:sz="8" w:space="0" w:color="00E57E" w:themeColor="accent2" w:themeTint="BF"/>
          <w:bottom w:val="single" w:sz="8" w:space="0" w:color="00E57E" w:themeColor="accent2" w:themeTint="BF"/>
          <w:right w:val="single" w:sz="8" w:space="0" w:color="00E57E" w:themeColor="accent2" w:themeTint="BF"/>
          <w:insideH w:val="nil"/>
          <w:insideV w:val="nil"/>
        </w:tcBorders>
        <w:shd w:val="clear" w:color="auto" w:fill="00874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2" w:themeTint="BF"/>
          <w:left w:val="single" w:sz="8" w:space="0" w:color="00E57E" w:themeColor="accent2" w:themeTint="BF"/>
          <w:bottom w:val="single" w:sz="8" w:space="0" w:color="00E57E" w:themeColor="accent2" w:themeTint="BF"/>
          <w:right w:val="single" w:sz="8" w:space="0" w:color="00E57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24377"/>
    <w:rPr>
      <w:sz w:val="14"/>
    </w:rPr>
  </w:style>
  <w:style w:type="paragraph" w:customStyle="1" w:styleId="Template-DokinfoOverskrift">
    <w:name w:val="Template - Dok info Overskrift"/>
    <w:basedOn w:val="Normal"/>
    <w:next w:val="Template-Dokinfo"/>
    <w:uiPriority w:val="5"/>
    <w:qFormat/>
    <w:rsid w:val="00F76C89"/>
    <w:pPr>
      <w:spacing w:line="200" w:lineRule="atLeast"/>
    </w:pPr>
    <w:rPr>
      <w:rFonts w:ascii="Arial" w:eastAsia="Calibri" w:hAnsi="Arial" w:cs="Calibri"/>
      <w:b/>
      <w:sz w:val="16"/>
      <w:szCs w:val="22"/>
    </w:rPr>
  </w:style>
  <w:style w:type="paragraph" w:customStyle="1" w:styleId="Template-Dokinfo">
    <w:name w:val="Template - Dok info"/>
    <w:basedOn w:val="Template-DokinfoOverskrift"/>
    <w:uiPriority w:val="5"/>
    <w:qFormat/>
    <w:rsid w:val="00F76C89"/>
    <w:rPr>
      <w:b w:val="0"/>
    </w:rPr>
  </w:style>
  <w:style w:type="character" w:customStyle="1" w:styleId="FodnotetekstTegn">
    <w:name w:val="Fodnotetekst Tegn"/>
    <w:aliases w:val=" Tegn Tegn,Tegn Tegn"/>
    <w:basedOn w:val="Standardskrifttypeiafsnit"/>
    <w:link w:val="Fodnotetekst"/>
    <w:rsid w:val="00F76C89"/>
    <w:rPr>
      <w:sz w:val="18"/>
    </w:rPr>
  </w:style>
  <w:style w:type="character" w:customStyle="1" w:styleId="ListeafsnitTegn">
    <w:name w:val="Listeafsnit Tegn"/>
    <w:link w:val="Listeafsnit"/>
    <w:uiPriority w:val="34"/>
    <w:locked/>
    <w:rsid w:val="00F7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Koncernf&#230;lles\Interne%20skabeloner\Notits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3127"/>
      </a:accent1>
      <a:accent2>
        <a:srgbClr val="00874B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2225-8D92-4999-828E-4120C24A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Notits.dotx</Template>
  <TotalTime>2</TotalTime>
  <Pages>2</Pages>
  <Words>397</Words>
  <Characters>2006</Characters>
  <Application>Microsoft Office Word</Application>
  <DocSecurity>4</DocSecurity>
  <Lines>74</Lines>
  <Paragraphs>54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Notits</vt:lpstr>
      <vt:lpstr>Notits</vt:lpstr>
      <vt:lpstr/>
    </vt:vector>
  </TitlesOfParts>
  <Company>Miljøministeriet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Notits</dc:title>
  <dc:creator>Henrik Pedersen Noe</dc:creator>
  <cp:lastModifiedBy>Birgitte Riber Rasmussen</cp:lastModifiedBy>
  <cp:revision>2</cp:revision>
  <cp:lastPrinted>2019-10-14T20:09:00Z</cp:lastPrinted>
  <dcterms:created xsi:type="dcterms:W3CDTF">2020-10-20T05:03:00Z</dcterms:created>
  <dcterms:modified xsi:type="dcterms:W3CDTF">2020-10-20T05:03:00Z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Notits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43647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HEPNO</vt:lpwstr>
  </property>
  <property fmtid="{D5CDD505-2E9C-101B-9397-08002B2CF9AE}" pid="17" name="SD_CtlText_Generelt_CaseNo">
    <vt:lpwstr/>
  </property>
  <property fmtid="{D5CDD505-2E9C-101B-9397-08002B2CF9AE}" pid="18" name="SD_UserprofileName">
    <vt:lpwstr>HEPNO</vt:lpwstr>
  </property>
  <property fmtid="{D5CDD505-2E9C-101B-9397-08002B2CF9AE}" pid="19" name="SD_Office_OFF_ID">
    <vt:lpwstr>27</vt:lpwstr>
  </property>
  <property fmtid="{D5CDD505-2E9C-101B-9397-08002B2CF9AE}" pid="20" name="CurrentOfficeID">
    <vt:lpwstr>27</vt:lpwstr>
  </property>
  <property fmtid="{D5CDD505-2E9C-101B-9397-08002B2CF9AE}" pid="21" name="SD_Office_OFF_Organisation">
    <vt:lpwstr>MFVM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Departementet</vt:lpwstr>
  </property>
  <property fmtid="{D5CDD505-2E9C-101B-9397-08002B2CF9AE}" pid="24" name="SD_Office_OFF_Institution">
    <vt:lpwstr>Miljø- og Fødevareministeriet</vt:lpwstr>
  </property>
  <property fmtid="{D5CDD505-2E9C-101B-9397-08002B2CF9AE}" pid="25" name="SD_Office_OFF_Institution_EN">
    <vt:lpwstr>Ministry of Environment and Food</vt:lpwstr>
  </property>
  <property fmtid="{D5CDD505-2E9C-101B-9397-08002B2CF9AE}" pid="26" name="SD_Office_OFF_kontor">
    <vt:lpwstr>Minister- og ledelsessekretariat</vt:lpwstr>
  </property>
  <property fmtid="{D5CDD505-2E9C-101B-9397-08002B2CF9AE}" pid="27" name="SD_Office_OFF_Department">
    <vt:lpwstr>Minister- og ledelsessekretariat</vt:lpwstr>
  </property>
  <property fmtid="{D5CDD505-2E9C-101B-9397-08002B2CF9AE}" pid="28" name="SD_Office_OFF_Department_EN">
    <vt:lpwstr>Minister- og ledelsessekretariat</vt:lpwstr>
  </property>
  <property fmtid="{D5CDD505-2E9C-101B-9397-08002B2CF9AE}" pid="29" name="SD_Office_OFF_Footertext">
    <vt:lpwstr/>
  </property>
  <property fmtid="{D5CDD505-2E9C-101B-9397-08002B2CF9AE}" pid="30" name="SD_Office_OFF_AddressA">
    <vt:lpwstr>Slotsholmsgade 12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Slotsholmsgade 12</vt:lpwstr>
  </property>
  <property fmtid="{D5CDD505-2E9C-101B-9397-08002B2CF9AE}" pid="34" name="SD_Office_OFF_AddressD">
    <vt:lpwstr>1216</vt:lpwstr>
  </property>
  <property fmtid="{D5CDD505-2E9C-101B-9397-08002B2CF9AE}" pid="35" name="SD_Office_OFF_City">
    <vt:lpwstr>København K</vt:lpwstr>
  </property>
  <property fmtid="{D5CDD505-2E9C-101B-9397-08002B2CF9AE}" pid="36" name="SD_Office_OFF_City_EN">
    <vt:lpwstr>Copenhagen K Denmark</vt:lpwstr>
  </property>
  <property fmtid="{D5CDD505-2E9C-101B-9397-08002B2CF9AE}" pid="37" name="SD_Office_OFF_Phone">
    <vt:lpwstr>38 14 21 42</vt:lpwstr>
  </property>
  <property fmtid="{D5CDD505-2E9C-101B-9397-08002B2CF9AE}" pid="38" name="SD_Office_OFF_Phone_EN">
    <vt:lpwstr>+45 38 14 21 42</vt:lpwstr>
  </property>
  <property fmtid="{D5CDD505-2E9C-101B-9397-08002B2CF9AE}" pid="39" name="SD_Office_OFF_Fax">
    <vt:lpwstr>33 14 50 42</vt:lpwstr>
  </property>
  <property fmtid="{D5CDD505-2E9C-101B-9397-08002B2CF9AE}" pid="40" name="SD_Office_OFF_Fax_EN">
    <vt:lpwstr>+45 33 14 50 42</vt:lpwstr>
  </property>
  <property fmtid="{D5CDD505-2E9C-101B-9397-08002B2CF9AE}" pid="41" name="SD_Office_OFF_Email">
    <vt:lpwstr>mfvm@mfvm.dk</vt:lpwstr>
  </property>
  <property fmtid="{D5CDD505-2E9C-101B-9397-08002B2CF9AE}" pid="42" name="SD_Office_OFF_Web">
    <vt:lpwstr>www.mfvm.dk</vt:lpwstr>
  </property>
  <property fmtid="{D5CDD505-2E9C-101B-9397-08002B2CF9AE}" pid="43" name="SD_Office_OFF_CVR">
    <vt:lpwstr>12854358</vt:lpwstr>
  </property>
  <property fmtid="{D5CDD505-2E9C-101B-9397-08002B2CF9AE}" pid="44" name="SD_Office_OFF_EAN">
    <vt:lpwstr>5798000862005</vt:lpwstr>
  </property>
  <property fmtid="{D5CDD505-2E9C-101B-9397-08002B2CF9AE}" pid="45" name="SD_Office_OFF_EAN_EN">
    <vt:lpwstr>5798000862005</vt:lpwstr>
  </property>
  <property fmtid="{D5CDD505-2E9C-101B-9397-08002B2CF9AE}" pid="46" name="SD_Office_OFF_ColorTheme">
    <vt:lpwstr>MFVM - Departementet_Koncern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Henrik Pedersen Noe</vt:lpwstr>
  </property>
  <property fmtid="{D5CDD505-2E9C-101B-9397-08002B2CF9AE}" pid="49" name="USR_Initials">
    <vt:lpwstr>HEPNO</vt:lpwstr>
  </property>
  <property fmtid="{D5CDD505-2E9C-101B-9397-08002B2CF9AE}" pid="50" name="USR_Title">
    <vt:lpwstr>Fuldmægtig</vt:lpwstr>
  </property>
  <property fmtid="{D5CDD505-2E9C-101B-9397-08002B2CF9AE}" pid="51" name="USR_DirectPhone">
    <vt:lpwstr>+45 61 88 90 10</vt:lpwstr>
  </property>
  <property fmtid="{D5CDD505-2E9C-101B-9397-08002B2CF9AE}" pid="52" name="USR_Mobile">
    <vt:lpwstr>+45 61 88 90 10</vt:lpwstr>
  </property>
  <property fmtid="{D5CDD505-2E9C-101B-9397-08002B2CF9AE}" pid="53" name="USR_Email">
    <vt:lpwstr>hepno@mfvm.dk</vt:lpwstr>
  </property>
  <property fmtid="{D5CDD505-2E9C-101B-9397-08002B2CF9AE}" pid="54" name="DocumentInfoFinished">
    <vt:lpwstr>True</vt:lpwstr>
  </property>
</Properties>
</file>